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FC38F" w14:textId="77777777" w:rsidR="003F3A41" w:rsidRPr="00397406" w:rsidRDefault="009C1F12" w:rsidP="004D486C">
      <w:pPr>
        <w:pStyle w:val="WPnumber"/>
        <w:tabs>
          <w:tab w:val="left" w:pos="3216"/>
          <w:tab w:val="right" w:pos="9360"/>
        </w:tabs>
        <w:ind w:left="3600"/>
        <w:jc w:val="left"/>
      </w:pPr>
      <w:bookmarkStart w:id="0" w:name="_Toc153189647"/>
      <w:bookmarkStart w:id="1" w:name="_Toc214003082"/>
      <w:r>
        <w:tab/>
      </w:r>
      <w:r>
        <w:tab/>
      </w:r>
      <w:r w:rsidR="00A57D36" w:rsidRPr="00397406">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3931D6">
            <w:t>SCE17WH001</w:t>
          </w:r>
        </w:sdtContent>
      </w:sdt>
    </w:p>
    <w:bookmarkEnd w:id="0"/>
    <w:p w14:paraId="155DF761" w14:textId="77777777" w:rsidR="00DA690B" w:rsidRPr="00397406" w:rsidRDefault="00E421D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931D6">
            <w:rPr>
              <w:rStyle w:val="CaptionChar"/>
              <w:rFonts w:asciiTheme="minorHAnsi" w:hAnsiTheme="minorHAnsi" w:cstheme="minorHAnsi"/>
              <w:b/>
              <w:bCs w:val="0"/>
              <w:sz w:val="48"/>
              <w:szCs w:val="48"/>
            </w:rPr>
            <w:t xml:space="preserve">Revision </w:t>
          </w:r>
          <w:r w:rsidR="00151B62">
            <w:rPr>
              <w:rStyle w:val="CaptionChar"/>
              <w:rFonts w:asciiTheme="minorHAnsi" w:hAnsiTheme="minorHAnsi" w:cstheme="minorHAnsi"/>
              <w:b/>
              <w:bCs w:val="0"/>
              <w:sz w:val="48"/>
              <w:szCs w:val="48"/>
            </w:rPr>
            <w:t>2</w:t>
          </w:r>
        </w:sdtContent>
      </w:sdt>
    </w:p>
    <w:p w14:paraId="50E80114" w14:textId="77777777" w:rsidR="00285A0D" w:rsidRPr="00397406" w:rsidRDefault="00285A0D" w:rsidP="00DE5758">
      <w:pPr>
        <w:jc w:val="right"/>
        <w:rPr>
          <w:rFonts w:cstheme="minorHAnsi"/>
          <w:b/>
          <w:sz w:val="48"/>
          <w:szCs w:val="48"/>
        </w:rPr>
      </w:pPr>
    </w:p>
    <w:bookmarkStart w:id="2" w:name="SCE"/>
    <w:p w14:paraId="6F7E48FC" w14:textId="77777777" w:rsidR="00DA690B" w:rsidRPr="00397406" w:rsidRDefault="00E421D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455828">
            <w:rPr>
              <w:rFonts w:cstheme="minorHAnsi"/>
              <w:b/>
              <w:sz w:val="36"/>
              <w:szCs w:val="36"/>
            </w:rPr>
            <w:t>Southern California Edison Company</w:t>
          </w:r>
        </w:sdtContent>
      </w:sdt>
      <w:bookmarkEnd w:id="2"/>
    </w:p>
    <w:p w14:paraId="5AC2DAE4" w14:textId="77777777" w:rsidR="00DA690B" w:rsidRPr="00397406" w:rsidRDefault="00DA690B" w:rsidP="00DA690B">
      <w:pPr>
        <w:rPr>
          <w:rFonts w:cstheme="minorHAnsi"/>
        </w:rPr>
      </w:pPr>
    </w:p>
    <w:p w14:paraId="005433AD" w14:textId="77777777" w:rsidR="00DA690B" w:rsidRPr="00397406" w:rsidRDefault="00DA690B" w:rsidP="00DA690B">
      <w:pPr>
        <w:rPr>
          <w:rFonts w:cstheme="minorHAnsi"/>
        </w:rPr>
      </w:pPr>
    </w:p>
    <w:p w14:paraId="394F14F7" w14:textId="77777777" w:rsidR="00DA690B" w:rsidRPr="00397406" w:rsidRDefault="009D0753" w:rsidP="009D0753">
      <w:pPr>
        <w:tabs>
          <w:tab w:val="left" w:pos="8190"/>
        </w:tabs>
        <w:rPr>
          <w:rFonts w:cstheme="minorHAnsi"/>
        </w:rPr>
      </w:pPr>
      <w:r w:rsidRPr="00397406">
        <w:rPr>
          <w:rFonts w:cstheme="minorHAnsi"/>
        </w:rPr>
        <w:tab/>
      </w:r>
    </w:p>
    <w:p w14:paraId="29E42C83" w14:textId="77777777" w:rsidR="00DA690B" w:rsidRPr="00397406" w:rsidRDefault="00DA690B" w:rsidP="00DA690B">
      <w:pPr>
        <w:rPr>
          <w:rFonts w:cstheme="minorHAnsi"/>
        </w:rPr>
      </w:pPr>
    </w:p>
    <w:p w14:paraId="318C6B37" w14:textId="77777777" w:rsidR="00DA690B" w:rsidRPr="00397406" w:rsidRDefault="00DA690B" w:rsidP="00DA690B">
      <w:pPr>
        <w:rPr>
          <w:rFonts w:cstheme="minorHAnsi"/>
        </w:rPr>
      </w:pPr>
    </w:p>
    <w:p w14:paraId="72F9FDB6" w14:textId="77777777" w:rsidR="00DA690B" w:rsidRPr="00397406" w:rsidRDefault="00DA690B" w:rsidP="00DA690B">
      <w:pPr>
        <w:rPr>
          <w:rFonts w:cstheme="minorHAnsi"/>
        </w:rPr>
      </w:pPr>
    </w:p>
    <w:p w14:paraId="7B871C0F" w14:textId="77777777" w:rsidR="00DA690B" w:rsidRPr="00397406" w:rsidRDefault="00DA690B" w:rsidP="00DA690B">
      <w:pPr>
        <w:rPr>
          <w:rFonts w:cstheme="minorHAnsi"/>
        </w:rPr>
      </w:pPr>
    </w:p>
    <w:p w14:paraId="094C6FDA" w14:textId="77777777" w:rsidR="00DA690B" w:rsidRPr="00397406" w:rsidRDefault="00DA690B" w:rsidP="00DA690B">
      <w:pPr>
        <w:rPr>
          <w:rFonts w:cstheme="minorHAnsi"/>
        </w:rPr>
      </w:pPr>
    </w:p>
    <w:p w14:paraId="546BB02C" w14:textId="77777777" w:rsidR="00DA690B" w:rsidRPr="00BA1D02" w:rsidRDefault="00BA1D02" w:rsidP="00BA1D02">
      <w:pPr>
        <w:pStyle w:val="reminders0"/>
        <w:rPr>
          <w:rFonts w:asciiTheme="minorHAnsi" w:hAnsiTheme="minorHAnsi" w:cstheme="minorHAnsi"/>
          <w:b/>
          <w:color w:val="auto"/>
          <w:sz w:val="72"/>
          <w:szCs w:val="72"/>
        </w:rPr>
      </w:pPr>
      <w:bookmarkStart w:id="3" w:name="_Toc153189650"/>
      <w:r w:rsidRPr="00BA1D02">
        <w:rPr>
          <w:rFonts w:asciiTheme="minorHAnsi" w:hAnsiTheme="minorHAnsi" w:cstheme="minorHAnsi"/>
          <w:b/>
          <w:color w:val="auto"/>
          <w:sz w:val="72"/>
          <w:szCs w:val="72"/>
        </w:rPr>
        <w:t xml:space="preserve">Heat Pump Water Heater </w:t>
      </w:r>
      <w:bookmarkEnd w:id="3"/>
    </w:p>
    <w:p w14:paraId="425267BE" w14:textId="77777777" w:rsidR="00E76B31" w:rsidRDefault="00E76B31" w:rsidP="00E76B31">
      <w:pPr>
        <w:pStyle w:val="Reminders"/>
        <w:rPr>
          <w:rFonts w:asciiTheme="minorHAnsi" w:hAnsiTheme="minorHAnsi" w:cstheme="minorHAnsi"/>
          <w:i w:val="0"/>
          <w:szCs w:val="22"/>
        </w:rPr>
      </w:pPr>
    </w:p>
    <w:p w14:paraId="6E62C31B" w14:textId="794CD099" w:rsidR="00397ACE" w:rsidRPr="00397406" w:rsidRDefault="00397ACE" w:rsidP="00E76B31">
      <w:pPr>
        <w:pStyle w:val="Reminders"/>
        <w:rPr>
          <w:rFonts w:asciiTheme="minorHAnsi" w:hAnsiTheme="minorHAnsi" w:cstheme="minorHAnsi"/>
          <w:i w:val="0"/>
          <w:szCs w:val="22"/>
        </w:rPr>
      </w:pPr>
    </w:p>
    <w:p w14:paraId="00F074D5" w14:textId="77777777" w:rsidR="00523736" w:rsidRPr="00397406" w:rsidRDefault="00523736" w:rsidP="00E76B31">
      <w:pPr>
        <w:pStyle w:val="Reminders"/>
        <w:rPr>
          <w:rFonts w:asciiTheme="minorHAnsi" w:hAnsiTheme="minorHAnsi" w:cstheme="minorHAnsi"/>
          <w:b/>
          <w:i w:val="0"/>
          <w:sz w:val="32"/>
          <w:szCs w:val="22"/>
        </w:rPr>
        <w:sectPr w:rsidR="00523736" w:rsidRPr="00397406">
          <w:footerReference w:type="default" r:id="rId9"/>
          <w:pgSz w:w="12240" w:h="15840"/>
          <w:pgMar w:top="1440" w:right="1440" w:bottom="1440" w:left="1440" w:header="720" w:footer="720" w:gutter="0"/>
          <w:cols w:space="720"/>
          <w:docGrid w:linePitch="360"/>
        </w:sectPr>
      </w:pPr>
    </w:p>
    <w:p w14:paraId="23BED0A5" w14:textId="77777777" w:rsidR="00290ED8" w:rsidRPr="00397406" w:rsidRDefault="00290ED8" w:rsidP="00AC5309">
      <w:pPr>
        <w:pStyle w:val="Heading1"/>
      </w:pPr>
      <w:bookmarkStart w:id="4" w:name="_Toc304800192"/>
      <w:bookmarkStart w:id="5" w:name="_Toc324318330"/>
      <w:bookmarkStart w:id="6" w:name="_Toc324340474"/>
      <w:bookmarkStart w:id="7" w:name="_Toc324433427"/>
      <w:r w:rsidRPr="00397406">
        <w:lastRenderedPageBreak/>
        <w:t>At-a-Glance Summary</w:t>
      </w:r>
      <w:bookmarkEnd w:id="4"/>
      <w:bookmarkEnd w:id="5"/>
      <w:bookmarkEnd w:id="6"/>
      <w:bookmarkEnd w:id="7"/>
    </w:p>
    <w:tbl>
      <w:tblPr>
        <w:tblStyle w:val="TableGrid11"/>
        <w:tblW w:w="9648" w:type="dxa"/>
        <w:tblLook w:val="01E0" w:firstRow="1" w:lastRow="1" w:firstColumn="1" w:lastColumn="1" w:noHBand="0" w:noVBand="0"/>
      </w:tblPr>
      <w:tblGrid>
        <w:gridCol w:w="3618"/>
        <w:gridCol w:w="6030"/>
      </w:tblGrid>
      <w:tr w:rsidR="00A97FEC" w:rsidRPr="00397406" w14:paraId="5036035F" w14:textId="77777777" w:rsidTr="007E6EBC">
        <w:trPr>
          <w:trHeight w:val="465"/>
        </w:trPr>
        <w:tc>
          <w:tcPr>
            <w:tcW w:w="3618" w:type="dxa"/>
          </w:tcPr>
          <w:p w14:paraId="6A57056F" w14:textId="77777777" w:rsidR="00A97FEC" w:rsidRPr="00397ACE"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Solution and Measure Codes:</w:t>
            </w:r>
          </w:p>
        </w:tc>
        <w:tc>
          <w:tcPr>
            <w:tcW w:w="6030" w:type="dxa"/>
          </w:tcPr>
          <w:p w14:paraId="27786135" w14:textId="77777777" w:rsidR="00A97FEC" w:rsidRPr="007E6EBC" w:rsidRDefault="00A97FEC">
            <w:pPr>
              <w:rPr>
                <w:rFonts w:cstheme="minorHAnsi"/>
                <w:szCs w:val="20"/>
              </w:rPr>
            </w:pPr>
            <w:r w:rsidRPr="007E6EBC">
              <w:rPr>
                <w:rFonts w:cstheme="minorHAnsi"/>
                <w:szCs w:val="20"/>
              </w:rPr>
              <w:t>WH-</w:t>
            </w:r>
            <w:r w:rsidR="00451458" w:rsidRPr="007E6EBC">
              <w:rPr>
                <w:rFonts w:cstheme="minorHAnsi"/>
                <w:szCs w:val="20"/>
              </w:rPr>
              <w:t>1</w:t>
            </w:r>
            <w:r w:rsidR="00451458">
              <w:rPr>
                <w:rFonts w:cstheme="minorHAnsi"/>
                <w:szCs w:val="20"/>
              </w:rPr>
              <w:t xml:space="preserve">9955, </w:t>
            </w:r>
            <w:r w:rsidR="00451458" w:rsidRPr="007E6EBC">
              <w:rPr>
                <w:rFonts w:cstheme="minorHAnsi"/>
                <w:szCs w:val="20"/>
              </w:rPr>
              <w:t>WH-1</w:t>
            </w:r>
            <w:r w:rsidR="00451458">
              <w:rPr>
                <w:rFonts w:cstheme="minorHAnsi"/>
                <w:szCs w:val="20"/>
              </w:rPr>
              <w:t>9956,</w:t>
            </w:r>
            <w:r w:rsidR="00451458" w:rsidRPr="007E6EBC">
              <w:rPr>
                <w:rFonts w:cstheme="minorHAnsi"/>
                <w:szCs w:val="20"/>
              </w:rPr>
              <w:t xml:space="preserve"> WH-1</w:t>
            </w:r>
            <w:r w:rsidR="00451458">
              <w:rPr>
                <w:rFonts w:cstheme="minorHAnsi"/>
                <w:szCs w:val="20"/>
              </w:rPr>
              <w:t>9957,</w:t>
            </w:r>
            <w:r w:rsidR="00451458" w:rsidRPr="007E6EBC">
              <w:rPr>
                <w:rFonts w:cstheme="minorHAnsi"/>
                <w:szCs w:val="20"/>
              </w:rPr>
              <w:t xml:space="preserve"> WH-1</w:t>
            </w:r>
            <w:r w:rsidR="00451458">
              <w:rPr>
                <w:rFonts w:cstheme="minorHAnsi"/>
                <w:szCs w:val="20"/>
              </w:rPr>
              <w:t>9958,</w:t>
            </w:r>
            <w:r w:rsidR="00451458" w:rsidRPr="007E6EBC">
              <w:rPr>
                <w:rFonts w:cstheme="minorHAnsi"/>
                <w:szCs w:val="20"/>
              </w:rPr>
              <w:t xml:space="preserve"> WH-1</w:t>
            </w:r>
            <w:r w:rsidR="00451458">
              <w:rPr>
                <w:rFonts w:cstheme="minorHAnsi"/>
                <w:szCs w:val="20"/>
              </w:rPr>
              <w:t>9959,</w:t>
            </w:r>
            <w:r w:rsidR="00451458" w:rsidRPr="007E6EBC">
              <w:rPr>
                <w:rFonts w:cstheme="minorHAnsi"/>
                <w:szCs w:val="20"/>
              </w:rPr>
              <w:t xml:space="preserve"> WH-1</w:t>
            </w:r>
            <w:r w:rsidR="00451458">
              <w:rPr>
                <w:rFonts w:cstheme="minorHAnsi"/>
                <w:szCs w:val="20"/>
              </w:rPr>
              <w:t>9960,</w:t>
            </w:r>
            <w:r w:rsidR="00451458" w:rsidRPr="007E6EBC">
              <w:rPr>
                <w:rFonts w:cstheme="minorHAnsi"/>
                <w:szCs w:val="20"/>
              </w:rPr>
              <w:t xml:space="preserve"> WH-1</w:t>
            </w:r>
            <w:r w:rsidR="00451458">
              <w:rPr>
                <w:rFonts w:cstheme="minorHAnsi"/>
                <w:szCs w:val="20"/>
              </w:rPr>
              <w:t>9961,</w:t>
            </w:r>
            <w:r w:rsidR="00451458" w:rsidRPr="007E6EBC">
              <w:rPr>
                <w:rFonts w:cstheme="minorHAnsi"/>
                <w:szCs w:val="20"/>
              </w:rPr>
              <w:t xml:space="preserve"> WH-1</w:t>
            </w:r>
            <w:r w:rsidR="00451458">
              <w:rPr>
                <w:rFonts w:cstheme="minorHAnsi"/>
                <w:szCs w:val="20"/>
              </w:rPr>
              <w:t>9962</w:t>
            </w:r>
          </w:p>
        </w:tc>
      </w:tr>
      <w:tr w:rsidR="00A97FEC" w:rsidRPr="00397406" w14:paraId="198E674C" w14:textId="77777777" w:rsidTr="007E6EBC">
        <w:trPr>
          <w:trHeight w:val="465"/>
        </w:trPr>
        <w:tc>
          <w:tcPr>
            <w:tcW w:w="3618" w:type="dxa"/>
          </w:tcPr>
          <w:p w14:paraId="432C3A8A"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 xml:space="preserve">Measure Description: </w:t>
            </w:r>
          </w:p>
        </w:tc>
        <w:tc>
          <w:tcPr>
            <w:tcW w:w="6030" w:type="dxa"/>
          </w:tcPr>
          <w:p w14:paraId="12CE909C" w14:textId="77777777" w:rsidR="00A97FEC" w:rsidRPr="007E6EBC" w:rsidRDefault="00A97FEC">
            <w:pPr>
              <w:rPr>
                <w:rFonts w:cstheme="minorHAnsi"/>
                <w:szCs w:val="20"/>
              </w:rPr>
            </w:pPr>
            <w:r w:rsidRPr="007E6EBC">
              <w:rPr>
                <w:rFonts w:cstheme="minorHAnsi"/>
                <w:szCs w:val="20"/>
              </w:rPr>
              <w:t>Heat Pump Water Heater</w:t>
            </w:r>
          </w:p>
        </w:tc>
      </w:tr>
      <w:tr w:rsidR="00A97FEC" w:rsidRPr="00397406" w14:paraId="720A08DB" w14:textId="77777777" w:rsidTr="007E6EBC">
        <w:trPr>
          <w:trHeight w:val="465"/>
        </w:trPr>
        <w:tc>
          <w:tcPr>
            <w:tcW w:w="3618" w:type="dxa"/>
          </w:tcPr>
          <w:p w14:paraId="071D920C"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Base Case Description:</w:t>
            </w:r>
          </w:p>
        </w:tc>
        <w:tc>
          <w:tcPr>
            <w:tcW w:w="6030" w:type="dxa"/>
          </w:tcPr>
          <w:p w14:paraId="14789C1F" w14:textId="77777777" w:rsidR="00A97FEC" w:rsidRPr="007E6EBC" w:rsidRDefault="00A97FEC">
            <w:pPr>
              <w:rPr>
                <w:rFonts w:cstheme="minorHAnsi"/>
                <w:szCs w:val="20"/>
              </w:rPr>
            </w:pPr>
            <w:r w:rsidRPr="007E6EBC">
              <w:rPr>
                <w:rFonts w:cstheme="minorHAnsi"/>
                <w:szCs w:val="20"/>
              </w:rPr>
              <w:t>Electric Storage Water Heater</w:t>
            </w:r>
          </w:p>
        </w:tc>
      </w:tr>
      <w:tr w:rsidR="00A97FEC" w:rsidRPr="00397406" w14:paraId="5D421650" w14:textId="77777777" w:rsidTr="007E6EBC">
        <w:trPr>
          <w:trHeight w:val="465"/>
        </w:trPr>
        <w:tc>
          <w:tcPr>
            <w:tcW w:w="3618" w:type="dxa"/>
          </w:tcPr>
          <w:p w14:paraId="0602B139"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Units:</w:t>
            </w:r>
          </w:p>
        </w:tc>
        <w:tc>
          <w:tcPr>
            <w:tcW w:w="6030" w:type="dxa"/>
          </w:tcPr>
          <w:p w14:paraId="30558E55" w14:textId="77777777" w:rsidR="00A97FEC" w:rsidRPr="007E6EBC" w:rsidRDefault="00A97FEC" w:rsidP="00A97FEC">
            <w:pPr>
              <w:rPr>
                <w:rFonts w:cstheme="minorHAnsi"/>
                <w:szCs w:val="20"/>
              </w:rPr>
            </w:pPr>
            <w:r w:rsidRPr="007E6EBC">
              <w:rPr>
                <w:rFonts w:cstheme="minorHAnsi"/>
                <w:szCs w:val="20"/>
              </w:rPr>
              <w:t xml:space="preserve">Water Heater </w:t>
            </w:r>
          </w:p>
        </w:tc>
      </w:tr>
      <w:tr w:rsidR="00290ED8" w:rsidRPr="00397406" w14:paraId="7CEE2E90" w14:textId="77777777" w:rsidTr="007E6EBC">
        <w:trPr>
          <w:trHeight w:val="465"/>
        </w:trPr>
        <w:tc>
          <w:tcPr>
            <w:tcW w:w="3618" w:type="dxa"/>
          </w:tcPr>
          <w:p w14:paraId="4B5EE72F" w14:textId="77777777" w:rsidR="00290ED8" w:rsidRPr="00397ACE" w:rsidRDefault="001C1338" w:rsidP="005729C8">
            <w:pPr>
              <w:rPr>
                <w:rStyle w:val="Strong"/>
                <w:rFonts w:asciiTheme="minorHAnsi" w:hAnsiTheme="minorHAnsi"/>
                <w:sz w:val="20"/>
              </w:rPr>
            </w:pPr>
            <w:r w:rsidRPr="00076F51">
              <w:rPr>
                <w:rStyle w:val="Strong"/>
                <w:rFonts w:asciiTheme="minorHAnsi" w:hAnsiTheme="minorHAnsi"/>
                <w:sz w:val="20"/>
                <w:szCs w:val="20"/>
              </w:rPr>
              <w:t>Energy Savings</w:t>
            </w:r>
            <w:r w:rsidR="00290ED8" w:rsidRPr="00076F51">
              <w:rPr>
                <w:rStyle w:val="Strong"/>
                <w:rFonts w:asciiTheme="minorHAnsi" w:hAnsiTheme="minorHAnsi"/>
                <w:sz w:val="20"/>
                <w:szCs w:val="20"/>
              </w:rPr>
              <w:t>:</w:t>
            </w:r>
          </w:p>
        </w:tc>
        <w:tc>
          <w:tcPr>
            <w:tcW w:w="6030" w:type="dxa"/>
          </w:tcPr>
          <w:p w14:paraId="12D7D40A" w14:textId="77777777" w:rsidR="00290ED8" w:rsidRPr="007E6EBC" w:rsidRDefault="00D36798" w:rsidP="005729C8">
            <w:pPr>
              <w:rPr>
                <w:rFonts w:cstheme="minorHAnsi"/>
                <w:szCs w:val="20"/>
              </w:rPr>
            </w:pPr>
            <w:r w:rsidRPr="007E6EBC">
              <w:rPr>
                <w:rFonts w:cstheme="minorHAnsi"/>
                <w:szCs w:val="20"/>
              </w:rPr>
              <w:t>Refer to Excel Calculation Attachment</w:t>
            </w:r>
          </w:p>
        </w:tc>
      </w:tr>
      <w:tr w:rsidR="00290ED8" w:rsidRPr="00397406" w14:paraId="25FA7809" w14:textId="77777777" w:rsidTr="007E6EBC">
        <w:trPr>
          <w:trHeight w:val="465"/>
        </w:trPr>
        <w:tc>
          <w:tcPr>
            <w:tcW w:w="3618" w:type="dxa"/>
          </w:tcPr>
          <w:p w14:paraId="587D4D96" w14:textId="77777777" w:rsidR="00290ED8" w:rsidRPr="00076F51" w:rsidRDefault="00290ED8" w:rsidP="005729C8">
            <w:pPr>
              <w:rPr>
                <w:rStyle w:val="Strong"/>
                <w:rFonts w:asciiTheme="minorHAnsi" w:hAnsiTheme="minorHAnsi"/>
                <w:sz w:val="20"/>
                <w:szCs w:val="20"/>
              </w:rPr>
            </w:pPr>
            <w:r w:rsidRPr="00076F51">
              <w:rPr>
                <w:rStyle w:val="Strong"/>
                <w:rFonts w:asciiTheme="minorHAnsi" w:hAnsiTheme="minorHAnsi"/>
                <w:sz w:val="20"/>
                <w:szCs w:val="20"/>
              </w:rPr>
              <w:t>Gross Measure Cost ($/unit)</w:t>
            </w:r>
            <w:r w:rsidR="001C1338" w:rsidRPr="00076F51">
              <w:rPr>
                <w:rStyle w:val="Strong"/>
                <w:rFonts w:asciiTheme="minorHAnsi" w:hAnsiTheme="minorHAnsi"/>
                <w:sz w:val="20"/>
                <w:szCs w:val="20"/>
              </w:rPr>
              <w:t>:</w:t>
            </w:r>
          </w:p>
        </w:tc>
        <w:tc>
          <w:tcPr>
            <w:tcW w:w="6030" w:type="dxa"/>
          </w:tcPr>
          <w:p w14:paraId="5A165652" w14:textId="77777777" w:rsidR="00290ED8" w:rsidRPr="007E6EBC" w:rsidRDefault="00D36798" w:rsidP="005729C8">
            <w:pPr>
              <w:rPr>
                <w:rFonts w:cstheme="minorHAnsi"/>
                <w:szCs w:val="20"/>
              </w:rPr>
            </w:pPr>
            <w:r w:rsidRPr="007E6EBC">
              <w:rPr>
                <w:rFonts w:cstheme="minorHAnsi"/>
                <w:szCs w:val="20"/>
              </w:rPr>
              <w:t>Refer to Excel Calculation Attachment</w:t>
            </w:r>
          </w:p>
        </w:tc>
      </w:tr>
      <w:tr w:rsidR="00AC5309" w:rsidRPr="00397406" w14:paraId="0E2B9860" w14:textId="77777777" w:rsidTr="007E6EBC">
        <w:trPr>
          <w:trHeight w:val="465"/>
        </w:trPr>
        <w:tc>
          <w:tcPr>
            <w:tcW w:w="3618" w:type="dxa"/>
          </w:tcPr>
          <w:p w14:paraId="14DBA87F" w14:textId="77777777" w:rsidR="00290ED8" w:rsidRPr="00076F51" w:rsidRDefault="00290ED8" w:rsidP="005729C8">
            <w:pPr>
              <w:rPr>
                <w:rStyle w:val="Strong"/>
                <w:rFonts w:asciiTheme="minorHAnsi" w:hAnsiTheme="minorHAnsi"/>
                <w:sz w:val="20"/>
                <w:szCs w:val="20"/>
              </w:rPr>
            </w:pPr>
            <w:r w:rsidRPr="00076F51">
              <w:rPr>
                <w:rStyle w:val="Strong"/>
                <w:rFonts w:asciiTheme="minorHAnsi" w:hAnsiTheme="minorHAnsi"/>
                <w:sz w:val="20"/>
                <w:szCs w:val="20"/>
              </w:rPr>
              <w:t xml:space="preserve">Measure Incremental Cost ($/unit): </w:t>
            </w:r>
          </w:p>
        </w:tc>
        <w:tc>
          <w:tcPr>
            <w:tcW w:w="6030" w:type="dxa"/>
          </w:tcPr>
          <w:p w14:paraId="49DBBE98" w14:textId="77777777" w:rsidR="00290ED8" w:rsidRPr="007E6EBC" w:rsidRDefault="00D36798" w:rsidP="005729C8">
            <w:pPr>
              <w:rPr>
                <w:rFonts w:cstheme="minorHAnsi"/>
                <w:szCs w:val="20"/>
              </w:rPr>
            </w:pPr>
            <w:r w:rsidRPr="007E6EBC">
              <w:rPr>
                <w:rFonts w:cstheme="minorHAnsi"/>
                <w:szCs w:val="20"/>
              </w:rPr>
              <w:t>Refer to Excel Calculation Attachment</w:t>
            </w:r>
          </w:p>
        </w:tc>
      </w:tr>
      <w:tr w:rsidR="00A97FEC" w:rsidRPr="00397406" w14:paraId="167ACF27" w14:textId="77777777" w:rsidTr="007E6EBC">
        <w:trPr>
          <w:trHeight w:val="465"/>
        </w:trPr>
        <w:tc>
          <w:tcPr>
            <w:tcW w:w="3618" w:type="dxa"/>
          </w:tcPr>
          <w:p w14:paraId="39815578"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Effective Useful Life:</w:t>
            </w:r>
          </w:p>
        </w:tc>
        <w:tc>
          <w:tcPr>
            <w:tcW w:w="6030" w:type="dxa"/>
          </w:tcPr>
          <w:p w14:paraId="31B8B815" w14:textId="77777777" w:rsidR="00A97FEC" w:rsidRPr="007E6EBC" w:rsidRDefault="00A97FEC" w:rsidP="00A97FEC">
            <w:pPr>
              <w:rPr>
                <w:rFonts w:cstheme="minorHAnsi"/>
                <w:szCs w:val="20"/>
              </w:rPr>
            </w:pPr>
            <w:r w:rsidRPr="007E6EBC">
              <w:rPr>
                <w:rFonts w:cstheme="minorHAnsi"/>
                <w:szCs w:val="20"/>
              </w:rPr>
              <w:t xml:space="preserve">10 years (EUL_ID: </w:t>
            </w:r>
            <w:proofErr w:type="spellStart"/>
            <w:r w:rsidRPr="00273434">
              <w:rPr>
                <w:rFonts w:cstheme="minorHAnsi"/>
                <w:szCs w:val="20"/>
              </w:rPr>
              <w:t>WtrHt-HtPmp</w:t>
            </w:r>
            <w:proofErr w:type="spellEnd"/>
            <w:r w:rsidRPr="00273434">
              <w:rPr>
                <w:rFonts w:cstheme="minorHAnsi"/>
                <w:szCs w:val="20"/>
              </w:rPr>
              <w:t>)</w:t>
            </w:r>
          </w:p>
        </w:tc>
      </w:tr>
      <w:tr w:rsidR="00A97FEC" w:rsidRPr="00397406" w14:paraId="08BA6A71" w14:textId="77777777" w:rsidTr="007E6EBC">
        <w:trPr>
          <w:trHeight w:val="465"/>
        </w:trPr>
        <w:tc>
          <w:tcPr>
            <w:tcW w:w="3618" w:type="dxa"/>
          </w:tcPr>
          <w:p w14:paraId="0069D6A0"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Measure Application Type:</w:t>
            </w:r>
          </w:p>
        </w:tc>
        <w:tc>
          <w:tcPr>
            <w:tcW w:w="6030" w:type="dxa"/>
          </w:tcPr>
          <w:p w14:paraId="775B683A" w14:textId="77777777" w:rsidR="00A97FEC" w:rsidRPr="007E6EBC" w:rsidRDefault="00A97FEC" w:rsidP="00A97FEC">
            <w:pPr>
              <w:rPr>
                <w:rFonts w:cstheme="minorHAnsi"/>
                <w:szCs w:val="20"/>
              </w:rPr>
            </w:pPr>
            <w:r w:rsidRPr="007E6EBC">
              <w:rPr>
                <w:rFonts w:cstheme="minorHAnsi"/>
                <w:szCs w:val="20"/>
              </w:rPr>
              <w:t>Replace-on-Burnout (ROB)</w:t>
            </w:r>
          </w:p>
        </w:tc>
      </w:tr>
      <w:tr w:rsidR="00A97FEC" w:rsidRPr="00397406" w14:paraId="035216B9" w14:textId="77777777" w:rsidTr="007E6EBC">
        <w:trPr>
          <w:trHeight w:val="465"/>
        </w:trPr>
        <w:tc>
          <w:tcPr>
            <w:tcW w:w="3618" w:type="dxa"/>
          </w:tcPr>
          <w:p w14:paraId="72922C2B" w14:textId="77777777" w:rsidR="00A97FEC" w:rsidRPr="00076F51" w:rsidRDefault="00A97FEC" w:rsidP="00A97FEC">
            <w:pPr>
              <w:rPr>
                <w:rStyle w:val="Strong"/>
                <w:rFonts w:asciiTheme="minorHAnsi" w:hAnsiTheme="minorHAnsi"/>
                <w:sz w:val="20"/>
                <w:szCs w:val="20"/>
              </w:rPr>
            </w:pPr>
            <w:r w:rsidRPr="00076F51">
              <w:rPr>
                <w:rStyle w:val="Strong"/>
                <w:rFonts w:asciiTheme="minorHAnsi" w:hAnsiTheme="minorHAnsi"/>
                <w:sz w:val="20"/>
                <w:szCs w:val="20"/>
              </w:rPr>
              <w:t xml:space="preserve">Net-to-Gross Ratio: </w:t>
            </w:r>
          </w:p>
        </w:tc>
        <w:tc>
          <w:tcPr>
            <w:tcW w:w="6030" w:type="dxa"/>
          </w:tcPr>
          <w:p w14:paraId="6CB55385" w14:textId="77777777" w:rsidR="00A97FEC" w:rsidRPr="00273434" w:rsidRDefault="00A97FEC">
            <w:pPr>
              <w:rPr>
                <w:rFonts w:cstheme="minorHAnsi"/>
                <w:szCs w:val="20"/>
              </w:rPr>
            </w:pPr>
            <w:r w:rsidRPr="007E6EBC">
              <w:rPr>
                <w:rFonts w:cstheme="minorHAnsi"/>
                <w:szCs w:val="20"/>
              </w:rPr>
              <w:t>0.</w:t>
            </w:r>
            <w:r w:rsidR="00E7073E">
              <w:rPr>
                <w:rFonts w:cstheme="minorHAnsi"/>
                <w:szCs w:val="20"/>
              </w:rPr>
              <w:t>7</w:t>
            </w:r>
            <w:r w:rsidR="00E7073E" w:rsidRPr="007E6EBC">
              <w:rPr>
                <w:rFonts w:cstheme="minorHAnsi"/>
                <w:szCs w:val="20"/>
              </w:rPr>
              <w:t xml:space="preserve"> </w:t>
            </w:r>
            <w:r w:rsidRPr="007E6EBC">
              <w:rPr>
                <w:rFonts w:cstheme="minorHAnsi"/>
                <w:szCs w:val="20"/>
              </w:rPr>
              <w:t xml:space="preserve">(NTGR_ID: </w:t>
            </w:r>
            <w:r w:rsidR="00E7073E" w:rsidRPr="00E7073E">
              <w:rPr>
                <w:rFonts w:cstheme="minorHAnsi"/>
                <w:szCs w:val="20"/>
              </w:rPr>
              <w:t>All-Default&lt;=2yrs</w:t>
            </w:r>
            <w:r w:rsidRPr="00273434">
              <w:rPr>
                <w:rFonts w:cstheme="minorHAnsi"/>
                <w:szCs w:val="20"/>
              </w:rPr>
              <w:t>)</w:t>
            </w:r>
          </w:p>
        </w:tc>
      </w:tr>
      <w:tr w:rsidR="009C6E26" w:rsidRPr="00397406" w14:paraId="2342136A" w14:textId="77777777" w:rsidTr="007E6EBC">
        <w:trPr>
          <w:trHeight w:val="465"/>
        </w:trPr>
        <w:tc>
          <w:tcPr>
            <w:tcW w:w="3618" w:type="dxa"/>
          </w:tcPr>
          <w:p w14:paraId="7F3E5EFE" w14:textId="77777777" w:rsidR="009C6E26" w:rsidRPr="00076F51" w:rsidRDefault="009C6E26" w:rsidP="009C6E26">
            <w:pPr>
              <w:rPr>
                <w:rStyle w:val="Strong"/>
                <w:rFonts w:asciiTheme="minorHAnsi" w:hAnsiTheme="minorHAnsi"/>
                <w:sz w:val="20"/>
                <w:szCs w:val="20"/>
              </w:rPr>
            </w:pPr>
            <w:r w:rsidRPr="00076F51">
              <w:rPr>
                <w:rStyle w:val="Strong"/>
                <w:rFonts w:asciiTheme="minorHAnsi" w:hAnsiTheme="minorHAnsi"/>
                <w:sz w:val="20"/>
                <w:szCs w:val="20"/>
              </w:rPr>
              <w:t>Important Comments:</w:t>
            </w:r>
          </w:p>
        </w:tc>
        <w:tc>
          <w:tcPr>
            <w:tcW w:w="6030" w:type="dxa"/>
          </w:tcPr>
          <w:p w14:paraId="16CF216D" w14:textId="77777777" w:rsidR="009C6E26" w:rsidRPr="007E6EBC" w:rsidRDefault="009C6E26" w:rsidP="009C6E26">
            <w:pPr>
              <w:rPr>
                <w:rFonts w:cstheme="minorHAnsi"/>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38EF818E" w14:textId="77777777" w:rsidR="00AC5309" w:rsidRPr="00397406" w:rsidRDefault="00AC5309">
      <w:pPr>
        <w:spacing w:after="200" w:line="276" w:lineRule="auto"/>
        <w:rPr>
          <w:rFonts w:cstheme="minorHAnsi"/>
          <w:b/>
          <w:bCs/>
          <w:smallCaps/>
          <w:kern w:val="32"/>
          <w:sz w:val="36"/>
          <w:szCs w:val="32"/>
        </w:rPr>
      </w:pPr>
    </w:p>
    <w:p w14:paraId="5749F954" w14:textId="77777777"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14:paraId="4BEEF610" w14:textId="77777777" w:rsidR="00EB34FC" w:rsidRPr="00397406" w:rsidRDefault="00EB34FC" w:rsidP="00933188">
      <w:pPr>
        <w:pStyle w:val="Heading1"/>
      </w:pPr>
      <w:r w:rsidRPr="00397406">
        <w:lastRenderedPageBreak/>
        <w:t>Document Revision History</w:t>
      </w:r>
    </w:p>
    <w:tbl>
      <w:tblPr>
        <w:tblStyle w:val="TableGrid11"/>
        <w:tblW w:w="5000" w:type="pct"/>
        <w:tblLayout w:type="fixed"/>
        <w:tblLook w:val="01E0" w:firstRow="1" w:lastRow="1" w:firstColumn="1" w:lastColumn="1" w:noHBand="0" w:noVBand="0"/>
      </w:tblPr>
      <w:tblGrid>
        <w:gridCol w:w="625"/>
        <w:gridCol w:w="1260"/>
        <w:gridCol w:w="1709"/>
        <w:gridCol w:w="5756"/>
      </w:tblGrid>
      <w:tr w:rsidR="00933188" w:rsidRPr="00397406" w14:paraId="29E36664" w14:textId="77777777" w:rsidTr="006B3A26">
        <w:trPr>
          <w:trHeight w:val="298"/>
        </w:trPr>
        <w:tc>
          <w:tcPr>
            <w:tcW w:w="334" w:type="pct"/>
            <w:shd w:val="clear" w:color="auto" w:fill="D9D9D9" w:themeFill="background1" w:themeFillShade="D9"/>
          </w:tcPr>
          <w:p w14:paraId="2962A8E4" w14:textId="77777777" w:rsidR="00933188" w:rsidRPr="007E6EBC" w:rsidRDefault="00886D9D" w:rsidP="006B3A26">
            <w:pPr>
              <w:rPr>
                <w:rFonts w:cstheme="minorHAnsi"/>
                <w:b/>
                <w:szCs w:val="20"/>
              </w:rPr>
            </w:pPr>
            <w:r>
              <w:rPr>
                <w:rFonts w:cstheme="minorHAnsi"/>
                <w:b/>
                <w:szCs w:val="20"/>
              </w:rPr>
              <w:t>Rev</w:t>
            </w:r>
          </w:p>
        </w:tc>
        <w:tc>
          <w:tcPr>
            <w:tcW w:w="674" w:type="pct"/>
            <w:shd w:val="clear" w:color="auto" w:fill="D9D9D9" w:themeFill="background1" w:themeFillShade="D9"/>
          </w:tcPr>
          <w:p w14:paraId="48F60DF1" w14:textId="77777777" w:rsidR="00933188" w:rsidRPr="007E6EBC" w:rsidRDefault="00933188" w:rsidP="006B3A26">
            <w:pPr>
              <w:rPr>
                <w:rFonts w:cstheme="minorHAnsi"/>
                <w:b/>
                <w:szCs w:val="20"/>
              </w:rPr>
            </w:pPr>
            <w:r w:rsidRPr="007E6EBC">
              <w:rPr>
                <w:rFonts w:cstheme="minorHAnsi"/>
                <w:b/>
                <w:szCs w:val="20"/>
              </w:rPr>
              <w:t>Date</w:t>
            </w:r>
          </w:p>
        </w:tc>
        <w:tc>
          <w:tcPr>
            <w:tcW w:w="914" w:type="pct"/>
            <w:shd w:val="clear" w:color="auto" w:fill="D9D9D9" w:themeFill="background1" w:themeFillShade="D9"/>
          </w:tcPr>
          <w:p w14:paraId="2281AB99" w14:textId="77777777" w:rsidR="00933188" w:rsidRPr="007E6EBC" w:rsidRDefault="00886D9D" w:rsidP="006B3A26">
            <w:pPr>
              <w:rPr>
                <w:rFonts w:cstheme="minorHAnsi"/>
                <w:b/>
                <w:szCs w:val="20"/>
              </w:rPr>
            </w:pPr>
            <w:r>
              <w:rPr>
                <w:rFonts w:cstheme="minorHAnsi"/>
                <w:b/>
                <w:szCs w:val="20"/>
              </w:rPr>
              <w:t>Author</w:t>
            </w:r>
          </w:p>
        </w:tc>
        <w:tc>
          <w:tcPr>
            <w:tcW w:w="3078" w:type="pct"/>
            <w:shd w:val="clear" w:color="auto" w:fill="D9D9D9" w:themeFill="background1" w:themeFillShade="D9"/>
          </w:tcPr>
          <w:p w14:paraId="63A0C646" w14:textId="77777777" w:rsidR="00933188" w:rsidRPr="007E6EBC" w:rsidRDefault="00933188" w:rsidP="006B3A26">
            <w:pPr>
              <w:rPr>
                <w:rFonts w:cstheme="minorHAnsi"/>
                <w:b/>
                <w:szCs w:val="20"/>
              </w:rPr>
            </w:pPr>
            <w:r w:rsidRPr="007E6EBC">
              <w:rPr>
                <w:rFonts w:cstheme="minorHAnsi"/>
                <w:b/>
                <w:szCs w:val="20"/>
              </w:rPr>
              <w:t>Summary of Changes</w:t>
            </w:r>
          </w:p>
        </w:tc>
      </w:tr>
      <w:tr w:rsidR="00251C7B" w:rsidRPr="00397406" w14:paraId="119BF8EC" w14:textId="77777777" w:rsidTr="006B3A26">
        <w:trPr>
          <w:trHeight w:val="325"/>
        </w:trPr>
        <w:tc>
          <w:tcPr>
            <w:tcW w:w="334" w:type="pct"/>
          </w:tcPr>
          <w:p w14:paraId="13DBC094" w14:textId="77777777" w:rsidR="00251C7B" w:rsidRPr="007E6EBC" w:rsidRDefault="00251C7B" w:rsidP="006B3A26">
            <w:pPr>
              <w:rPr>
                <w:rFonts w:cstheme="minorHAnsi"/>
                <w:bCs/>
                <w:szCs w:val="20"/>
              </w:rPr>
            </w:pPr>
            <w:r w:rsidRPr="007E6EBC">
              <w:rPr>
                <w:rFonts w:cstheme="minorHAnsi"/>
                <w:bCs/>
                <w:szCs w:val="20"/>
              </w:rPr>
              <w:t>0</w:t>
            </w:r>
          </w:p>
        </w:tc>
        <w:tc>
          <w:tcPr>
            <w:tcW w:w="674" w:type="pct"/>
          </w:tcPr>
          <w:p w14:paraId="7077B4B8" w14:textId="77777777" w:rsidR="00251C7B" w:rsidRPr="007E6EBC" w:rsidRDefault="00094576" w:rsidP="0017205E">
            <w:pPr>
              <w:rPr>
                <w:rFonts w:cstheme="minorHAnsi"/>
                <w:bCs/>
                <w:szCs w:val="20"/>
              </w:rPr>
            </w:pPr>
            <w:r>
              <w:rPr>
                <w:rFonts w:cstheme="minorHAnsi"/>
                <w:bCs/>
                <w:szCs w:val="20"/>
              </w:rPr>
              <w:t>11/15/17</w:t>
            </w:r>
          </w:p>
        </w:tc>
        <w:tc>
          <w:tcPr>
            <w:tcW w:w="914" w:type="pct"/>
          </w:tcPr>
          <w:p w14:paraId="3B5CF792" w14:textId="77777777" w:rsidR="00251C7B" w:rsidRPr="007E6EBC" w:rsidRDefault="003931D6">
            <w:pPr>
              <w:rPr>
                <w:rFonts w:cstheme="minorHAnsi"/>
                <w:bCs/>
                <w:szCs w:val="20"/>
              </w:rPr>
            </w:pPr>
            <w:r>
              <w:rPr>
                <w:rFonts w:cstheme="minorHAnsi"/>
                <w:bCs/>
                <w:szCs w:val="20"/>
              </w:rPr>
              <w:t xml:space="preserve">John </w:t>
            </w:r>
            <w:proofErr w:type="spellStart"/>
            <w:r>
              <w:rPr>
                <w:rFonts w:cstheme="minorHAnsi"/>
                <w:bCs/>
                <w:szCs w:val="20"/>
              </w:rPr>
              <w:t>Baffa</w:t>
            </w:r>
            <w:proofErr w:type="spellEnd"/>
            <w:r w:rsidR="006618E5" w:rsidRPr="007E6EBC">
              <w:rPr>
                <w:rFonts w:cstheme="minorHAnsi"/>
                <w:bCs/>
                <w:szCs w:val="20"/>
              </w:rPr>
              <w:t xml:space="preserve"> (</w:t>
            </w:r>
            <w:r w:rsidR="00555D98">
              <w:rPr>
                <w:rFonts w:cstheme="minorHAnsi"/>
                <w:bCs/>
                <w:szCs w:val="20"/>
              </w:rPr>
              <w:t>TRC</w:t>
            </w:r>
            <w:r w:rsidR="006618E5" w:rsidRPr="007E6EBC">
              <w:rPr>
                <w:rFonts w:cstheme="minorHAnsi"/>
                <w:bCs/>
                <w:szCs w:val="20"/>
              </w:rPr>
              <w:t>)</w:t>
            </w:r>
          </w:p>
        </w:tc>
        <w:tc>
          <w:tcPr>
            <w:tcW w:w="3078" w:type="pct"/>
          </w:tcPr>
          <w:p w14:paraId="78927846" w14:textId="77777777" w:rsidR="00555D98" w:rsidRPr="003633ED" w:rsidRDefault="00555D98" w:rsidP="00555D98">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w:t>
            </w:r>
            <w:r>
              <w:rPr>
                <w:rFonts w:cstheme="minorHAnsi"/>
                <w:bCs/>
                <w:szCs w:val="20"/>
              </w:rPr>
              <w:t>WH</w:t>
            </w:r>
            <w:r w:rsidRPr="00BB0FDA">
              <w:rPr>
                <w:rFonts w:cstheme="minorHAnsi"/>
                <w:bCs/>
                <w:szCs w:val="20"/>
              </w:rPr>
              <w:t>0</w:t>
            </w:r>
            <w:r>
              <w:rPr>
                <w:rFonts w:cstheme="minorHAnsi"/>
                <w:bCs/>
                <w:szCs w:val="20"/>
              </w:rPr>
              <w:t>01</w:t>
            </w:r>
            <w:r w:rsidRPr="00BB0FDA">
              <w:rPr>
                <w:rFonts w:cstheme="minorHAnsi"/>
                <w:bCs/>
                <w:szCs w:val="20"/>
              </w:rPr>
              <w:t>.</w:t>
            </w:r>
            <w:r>
              <w:rPr>
                <w:rFonts w:cstheme="minorHAnsi"/>
                <w:bCs/>
                <w:szCs w:val="20"/>
              </w:rPr>
              <w:t>3</w:t>
            </w:r>
          </w:p>
          <w:p w14:paraId="261D0646" w14:textId="77777777" w:rsidR="00555D98" w:rsidRDefault="00555D98" w:rsidP="00555D98">
            <w:pPr>
              <w:rPr>
                <w:rFonts w:cstheme="minorHAnsi"/>
                <w:bCs/>
                <w:szCs w:val="20"/>
              </w:rPr>
            </w:pPr>
            <w:r w:rsidRPr="003633ED">
              <w:rPr>
                <w:rFonts w:cstheme="minorHAnsi"/>
                <w:bCs/>
                <w:szCs w:val="20"/>
              </w:rPr>
              <w:t>- New calculation template update for 2017 program year</w:t>
            </w:r>
          </w:p>
          <w:p w14:paraId="4286742F" w14:textId="77777777" w:rsidR="00555D98" w:rsidRDefault="00555D98" w:rsidP="00555D98">
            <w:pPr>
              <w:rPr>
                <w:rFonts w:cstheme="minorHAnsi"/>
                <w:bCs/>
                <w:szCs w:val="20"/>
              </w:rPr>
            </w:pPr>
            <w:r>
              <w:rPr>
                <w:rFonts w:cstheme="minorHAnsi"/>
                <w:bCs/>
                <w:szCs w:val="20"/>
              </w:rPr>
              <w:t xml:space="preserve">- </w:t>
            </w:r>
            <w:r w:rsidRPr="003633ED">
              <w:rPr>
                <w:rFonts w:cstheme="minorHAnsi"/>
                <w:bCs/>
                <w:szCs w:val="20"/>
              </w:rPr>
              <w:t xml:space="preserve">Work paper is updated with 2016 Title-24 </w:t>
            </w:r>
            <w:r>
              <w:rPr>
                <w:rFonts w:cstheme="minorHAnsi"/>
                <w:bCs/>
                <w:szCs w:val="20"/>
              </w:rPr>
              <w:t xml:space="preserve">Residential </w:t>
            </w:r>
            <w:r w:rsidRPr="003633ED">
              <w:rPr>
                <w:rFonts w:cstheme="minorHAnsi"/>
                <w:bCs/>
                <w:szCs w:val="20"/>
              </w:rPr>
              <w:t>code requirement</w:t>
            </w:r>
            <w:r>
              <w:rPr>
                <w:rFonts w:cstheme="minorHAnsi"/>
                <w:bCs/>
                <w:szCs w:val="20"/>
              </w:rPr>
              <w:t xml:space="preserve"> and 201</w:t>
            </w:r>
            <w:r w:rsidR="00E82CBE">
              <w:rPr>
                <w:rFonts w:cstheme="minorHAnsi"/>
                <w:bCs/>
                <w:szCs w:val="20"/>
              </w:rPr>
              <w:t>6</w:t>
            </w:r>
            <w:r>
              <w:rPr>
                <w:rFonts w:cstheme="minorHAnsi"/>
                <w:bCs/>
                <w:szCs w:val="20"/>
              </w:rPr>
              <w:t xml:space="preserve"> Title 20 code language.</w:t>
            </w:r>
          </w:p>
          <w:p w14:paraId="3B24173A" w14:textId="77777777" w:rsidR="00555D98" w:rsidRDefault="00555D98" w:rsidP="00555D98">
            <w:pPr>
              <w:rPr>
                <w:rFonts w:cstheme="minorHAnsi"/>
                <w:bCs/>
                <w:szCs w:val="20"/>
              </w:rPr>
            </w:pPr>
            <w:r>
              <w:rPr>
                <w:rFonts w:cstheme="minorHAnsi"/>
                <w:bCs/>
                <w:szCs w:val="20"/>
              </w:rPr>
              <w:t>- Solution Code WH-18930 has been removed and replaced with multiple new solution codes for different water heater sizes and efficiencies</w:t>
            </w:r>
          </w:p>
          <w:p w14:paraId="729BD1FA" w14:textId="77777777" w:rsidR="00555D98" w:rsidRDefault="00555D98" w:rsidP="00555D98">
            <w:pPr>
              <w:rPr>
                <w:rFonts w:cstheme="minorHAnsi"/>
                <w:bCs/>
                <w:szCs w:val="20"/>
              </w:rPr>
            </w:pPr>
            <w:r>
              <w:rPr>
                <w:rFonts w:cstheme="minorHAnsi"/>
                <w:bCs/>
                <w:szCs w:val="20"/>
              </w:rPr>
              <w:t>- Measure and Base costs from WO</w:t>
            </w:r>
            <w:r w:rsidR="006F76EA">
              <w:rPr>
                <w:rFonts w:cstheme="minorHAnsi"/>
                <w:bCs/>
                <w:szCs w:val="20"/>
              </w:rPr>
              <w:t>0</w:t>
            </w:r>
            <w:r>
              <w:rPr>
                <w:rFonts w:cstheme="minorHAnsi"/>
                <w:bCs/>
                <w:szCs w:val="20"/>
              </w:rPr>
              <w:t>17 and online retailers has been included for the new solution codes.</w:t>
            </w:r>
          </w:p>
          <w:p w14:paraId="5ED34FB7" w14:textId="77777777" w:rsidR="00555D98" w:rsidRDefault="00555D98" w:rsidP="00555D98">
            <w:r>
              <w:rPr>
                <w:rFonts w:cstheme="minorHAnsi"/>
                <w:bCs/>
                <w:szCs w:val="20"/>
              </w:rPr>
              <w:t xml:space="preserve">- </w:t>
            </w:r>
            <w:r>
              <w:t>All (16) California Climate Zones have been added to the calculation template.</w:t>
            </w:r>
          </w:p>
          <w:p w14:paraId="6BA60EE6" w14:textId="77777777" w:rsidR="00EC1E06" w:rsidRPr="003633ED" w:rsidRDefault="00EC1E06" w:rsidP="00555D98">
            <w:pPr>
              <w:rPr>
                <w:rFonts w:cstheme="minorHAnsi"/>
                <w:bCs/>
                <w:szCs w:val="20"/>
              </w:rPr>
            </w:pPr>
            <w:r>
              <w:t>-Savings from DEER 2017.</w:t>
            </w:r>
          </w:p>
          <w:p w14:paraId="5C966B37" w14:textId="77777777" w:rsidR="00251C7B" w:rsidRPr="007E6EBC" w:rsidRDefault="00251C7B" w:rsidP="006B3A26">
            <w:pPr>
              <w:rPr>
                <w:rFonts w:cstheme="minorHAnsi"/>
                <w:bCs/>
                <w:szCs w:val="20"/>
              </w:rPr>
            </w:pPr>
          </w:p>
        </w:tc>
      </w:tr>
      <w:tr w:rsidR="00D5369B" w:rsidRPr="00397406" w14:paraId="25F7C73B" w14:textId="77777777" w:rsidTr="006B3A26">
        <w:trPr>
          <w:trHeight w:val="325"/>
        </w:trPr>
        <w:tc>
          <w:tcPr>
            <w:tcW w:w="334" w:type="pct"/>
          </w:tcPr>
          <w:p w14:paraId="27A92457" w14:textId="77777777" w:rsidR="00D5369B" w:rsidRPr="007E6EBC" w:rsidRDefault="00151B62" w:rsidP="006B3A26">
            <w:pPr>
              <w:rPr>
                <w:rFonts w:cstheme="minorHAnsi"/>
                <w:bCs/>
                <w:szCs w:val="20"/>
              </w:rPr>
            </w:pPr>
            <w:r>
              <w:rPr>
                <w:rFonts w:cstheme="minorHAnsi"/>
                <w:bCs/>
                <w:szCs w:val="20"/>
              </w:rPr>
              <w:t>2</w:t>
            </w:r>
          </w:p>
        </w:tc>
        <w:tc>
          <w:tcPr>
            <w:tcW w:w="674" w:type="pct"/>
          </w:tcPr>
          <w:p w14:paraId="1EE3F6B3" w14:textId="77777777" w:rsidR="00D5369B" w:rsidRPr="007E6EBC" w:rsidDel="00094576" w:rsidRDefault="00D5369B" w:rsidP="0017205E">
            <w:pPr>
              <w:rPr>
                <w:rFonts w:cstheme="minorHAnsi"/>
                <w:bCs/>
                <w:szCs w:val="20"/>
              </w:rPr>
            </w:pPr>
            <w:r>
              <w:rPr>
                <w:rFonts w:cstheme="minorHAnsi"/>
                <w:bCs/>
                <w:szCs w:val="20"/>
              </w:rPr>
              <w:t>10/1</w:t>
            </w:r>
            <w:r w:rsidR="001D4669">
              <w:rPr>
                <w:rFonts w:cstheme="minorHAnsi"/>
                <w:bCs/>
                <w:szCs w:val="20"/>
              </w:rPr>
              <w:t>7</w:t>
            </w:r>
            <w:r>
              <w:rPr>
                <w:rFonts w:cstheme="minorHAnsi"/>
                <w:bCs/>
                <w:szCs w:val="20"/>
              </w:rPr>
              <w:t>/18</w:t>
            </w:r>
          </w:p>
        </w:tc>
        <w:tc>
          <w:tcPr>
            <w:tcW w:w="914" w:type="pct"/>
          </w:tcPr>
          <w:p w14:paraId="2A7BE361" w14:textId="77777777" w:rsidR="00D5369B" w:rsidRPr="007E6EBC" w:rsidDel="003931D6" w:rsidRDefault="00D5369B">
            <w:pPr>
              <w:rPr>
                <w:rFonts w:cstheme="minorHAnsi"/>
                <w:bCs/>
                <w:szCs w:val="20"/>
              </w:rPr>
            </w:pPr>
            <w:r>
              <w:rPr>
                <w:rFonts w:cstheme="minorHAnsi"/>
                <w:bCs/>
                <w:szCs w:val="20"/>
              </w:rPr>
              <w:t xml:space="preserve">John </w:t>
            </w:r>
            <w:proofErr w:type="spellStart"/>
            <w:r>
              <w:rPr>
                <w:rFonts w:cstheme="minorHAnsi"/>
                <w:bCs/>
                <w:szCs w:val="20"/>
              </w:rPr>
              <w:t>Baffa</w:t>
            </w:r>
            <w:proofErr w:type="spellEnd"/>
            <w:r w:rsidRPr="007E6EBC">
              <w:rPr>
                <w:rFonts w:cstheme="minorHAnsi"/>
                <w:bCs/>
                <w:szCs w:val="20"/>
              </w:rPr>
              <w:t xml:space="preserve"> (</w:t>
            </w:r>
            <w:r>
              <w:rPr>
                <w:rFonts w:cstheme="minorHAnsi"/>
                <w:bCs/>
                <w:szCs w:val="20"/>
              </w:rPr>
              <w:t>TRC</w:t>
            </w:r>
            <w:r w:rsidRPr="007E6EBC">
              <w:rPr>
                <w:rFonts w:cstheme="minorHAnsi"/>
                <w:bCs/>
                <w:szCs w:val="20"/>
              </w:rPr>
              <w:t>)</w:t>
            </w:r>
          </w:p>
        </w:tc>
        <w:tc>
          <w:tcPr>
            <w:tcW w:w="3078" w:type="pct"/>
          </w:tcPr>
          <w:p w14:paraId="6DCEDC79" w14:textId="77777777" w:rsidR="00D5369B" w:rsidRDefault="00D5369B" w:rsidP="00555D98">
            <w:pPr>
              <w:rPr>
                <w:rFonts w:cstheme="minorHAnsi"/>
                <w:bCs/>
                <w:szCs w:val="20"/>
              </w:rPr>
            </w:pPr>
            <w:r>
              <w:rPr>
                <w:rFonts w:cstheme="minorHAnsi"/>
                <w:bCs/>
                <w:szCs w:val="20"/>
              </w:rPr>
              <w:t>-Converted EF to UEF values</w:t>
            </w:r>
            <w:r w:rsidR="007D52EB">
              <w:rPr>
                <w:rFonts w:cstheme="minorHAnsi"/>
                <w:bCs/>
                <w:szCs w:val="20"/>
              </w:rPr>
              <w:t xml:space="preserve"> in measure names to match new Federal standards</w:t>
            </w:r>
            <w:r w:rsidR="00024961">
              <w:rPr>
                <w:rFonts w:cstheme="minorHAnsi"/>
                <w:bCs/>
                <w:szCs w:val="20"/>
              </w:rPr>
              <w:t>.</w:t>
            </w:r>
          </w:p>
          <w:p w14:paraId="33ECFECD" w14:textId="77777777" w:rsidR="00024961" w:rsidRPr="003633ED" w:rsidRDefault="00024961" w:rsidP="00555D98">
            <w:pPr>
              <w:rPr>
                <w:rFonts w:cstheme="minorHAnsi"/>
                <w:bCs/>
                <w:szCs w:val="20"/>
              </w:rPr>
            </w:pPr>
            <w:r>
              <w:rPr>
                <w:rFonts w:cstheme="minorHAnsi"/>
                <w:bCs/>
                <w:szCs w:val="20"/>
              </w:rPr>
              <w:t xml:space="preserve">-Update to new Federal Code language stating UEFs. </w:t>
            </w:r>
          </w:p>
        </w:tc>
      </w:tr>
    </w:tbl>
    <w:p w14:paraId="2DA2E439" w14:textId="77777777" w:rsidR="00886D9D" w:rsidRDefault="00886D9D" w:rsidP="00886D9D">
      <w:pPr>
        <w:keepNext/>
        <w:spacing w:before="240" w:after="120"/>
        <w:outlineLvl w:val="0"/>
        <w:rPr>
          <w:rFonts w:cs="Arial"/>
          <w:b/>
          <w:bCs/>
          <w:smallCaps/>
          <w:kern w:val="32"/>
          <w:sz w:val="36"/>
          <w:szCs w:val="32"/>
        </w:rPr>
      </w:pPr>
    </w:p>
    <w:p w14:paraId="5D1A249D" w14:textId="77777777" w:rsidR="00886D9D" w:rsidRDefault="00886D9D" w:rsidP="00886D9D">
      <w:pPr>
        <w:keepNext/>
        <w:spacing w:before="240" w:after="120"/>
        <w:outlineLvl w:val="0"/>
        <w:rPr>
          <w:rFonts w:cs="Arial"/>
          <w:b/>
          <w:bCs/>
          <w:smallCaps/>
          <w:kern w:val="32"/>
          <w:sz w:val="36"/>
          <w:szCs w:val="32"/>
        </w:rPr>
      </w:pPr>
    </w:p>
    <w:p w14:paraId="4EFB86EE" w14:textId="77777777" w:rsidR="00886D9D" w:rsidRPr="00886D9D" w:rsidRDefault="00886D9D" w:rsidP="00886D9D">
      <w:pPr>
        <w:keepNext/>
        <w:spacing w:before="240" w:after="120"/>
        <w:outlineLvl w:val="0"/>
        <w:rPr>
          <w:rFonts w:cs="Arial"/>
          <w:b/>
          <w:bCs/>
          <w:smallCaps/>
          <w:kern w:val="32"/>
          <w:sz w:val="36"/>
          <w:szCs w:val="32"/>
        </w:rPr>
      </w:pPr>
      <w:r w:rsidRPr="00886D9D">
        <w:rPr>
          <w:rFonts w:cs="Arial"/>
          <w:b/>
          <w:bCs/>
          <w:smallCaps/>
          <w:kern w:val="32"/>
          <w:sz w:val="36"/>
          <w:szCs w:val="32"/>
        </w:rPr>
        <w:t>Commission Staff and Cal TF Comments</w:t>
      </w:r>
    </w:p>
    <w:tbl>
      <w:tblPr>
        <w:tblStyle w:val="TableGrid14"/>
        <w:tblW w:w="5000" w:type="pct"/>
        <w:tblLook w:val="01E0" w:firstRow="1" w:lastRow="1" w:firstColumn="1" w:lastColumn="1" w:noHBand="0" w:noVBand="0"/>
      </w:tblPr>
      <w:tblGrid>
        <w:gridCol w:w="524"/>
        <w:gridCol w:w="657"/>
        <w:gridCol w:w="1024"/>
        <w:gridCol w:w="1033"/>
        <w:gridCol w:w="3056"/>
        <w:gridCol w:w="3056"/>
      </w:tblGrid>
      <w:tr w:rsidR="00886D9D" w:rsidRPr="00886D9D" w14:paraId="6763AE3F" w14:textId="77777777" w:rsidTr="00266FB8">
        <w:trPr>
          <w:trHeight w:val="20"/>
        </w:trPr>
        <w:tc>
          <w:tcPr>
            <w:tcW w:w="280" w:type="pct"/>
            <w:shd w:val="clear" w:color="auto" w:fill="D9D9D9" w:themeFill="background1" w:themeFillShade="D9"/>
          </w:tcPr>
          <w:p w14:paraId="227447E2" w14:textId="77777777" w:rsidR="00886D9D" w:rsidRPr="00886D9D" w:rsidRDefault="00886D9D" w:rsidP="00886D9D">
            <w:pPr>
              <w:rPr>
                <w:b/>
                <w:bCs/>
                <w:szCs w:val="20"/>
              </w:rPr>
            </w:pPr>
            <w:r w:rsidRPr="00886D9D">
              <w:rPr>
                <w:b/>
                <w:szCs w:val="20"/>
              </w:rPr>
              <w:t>Rev</w:t>
            </w:r>
          </w:p>
        </w:tc>
        <w:tc>
          <w:tcPr>
            <w:tcW w:w="351" w:type="pct"/>
            <w:shd w:val="clear" w:color="auto" w:fill="D9D9D9" w:themeFill="background1" w:themeFillShade="D9"/>
          </w:tcPr>
          <w:p w14:paraId="61F66066" w14:textId="77777777" w:rsidR="00886D9D" w:rsidRPr="00886D9D" w:rsidRDefault="00886D9D" w:rsidP="00886D9D">
            <w:pPr>
              <w:rPr>
                <w:b/>
                <w:szCs w:val="20"/>
              </w:rPr>
            </w:pPr>
            <w:r w:rsidRPr="00886D9D">
              <w:rPr>
                <w:b/>
                <w:szCs w:val="20"/>
              </w:rPr>
              <w:t>Party</w:t>
            </w:r>
          </w:p>
        </w:tc>
        <w:tc>
          <w:tcPr>
            <w:tcW w:w="548" w:type="pct"/>
            <w:shd w:val="clear" w:color="auto" w:fill="D9D9D9" w:themeFill="background1" w:themeFillShade="D9"/>
          </w:tcPr>
          <w:p w14:paraId="43DD04D8" w14:textId="77777777" w:rsidR="00886D9D" w:rsidRPr="00886D9D" w:rsidRDefault="00886D9D" w:rsidP="00886D9D">
            <w:pPr>
              <w:rPr>
                <w:b/>
                <w:bCs/>
                <w:szCs w:val="20"/>
              </w:rPr>
            </w:pPr>
            <w:r w:rsidRPr="00886D9D">
              <w:rPr>
                <w:b/>
                <w:szCs w:val="20"/>
              </w:rPr>
              <w:t>Submittal Date</w:t>
            </w:r>
          </w:p>
        </w:tc>
        <w:tc>
          <w:tcPr>
            <w:tcW w:w="552" w:type="pct"/>
            <w:shd w:val="clear" w:color="auto" w:fill="D9D9D9" w:themeFill="background1" w:themeFillShade="D9"/>
          </w:tcPr>
          <w:p w14:paraId="110F9981" w14:textId="77777777" w:rsidR="00886D9D" w:rsidRPr="00886D9D" w:rsidRDefault="00886D9D" w:rsidP="00886D9D">
            <w:pPr>
              <w:rPr>
                <w:b/>
                <w:bCs/>
                <w:szCs w:val="20"/>
              </w:rPr>
            </w:pPr>
            <w:r w:rsidRPr="00886D9D">
              <w:rPr>
                <w:b/>
                <w:szCs w:val="20"/>
              </w:rPr>
              <w:t>Comment Date</w:t>
            </w:r>
          </w:p>
        </w:tc>
        <w:tc>
          <w:tcPr>
            <w:tcW w:w="1634" w:type="pct"/>
            <w:shd w:val="clear" w:color="auto" w:fill="D9D9D9" w:themeFill="background1" w:themeFillShade="D9"/>
          </w:tcPr>
          <w:p w14:paraId="1E80A4D6" w14:textId="77777777" w:rsidR="00886D9D" w:rsidRPr="00886D9D" w:rsidRDefault="00886D9D" w:rsidP="00886D9D">
            <w:pPr>
              <w:rPr>
                <w:b/>
                <w:bCs/>
                <w:szCs w:val="20"/>
              </w:rPr>
            </w:pPr>
            <w:r w:rsidRPr="00886D9D">
              <w:rPr>
                <w:b/>
                <w:szCs w:val="20"/>
              </w:rPr>
              <w:t>Comments</w:t>
            </w:r>
          </w:p>
        </w:tc>
        <w:tc>
          <w:tcPr>
            <w:tcW w:w="1634" w:type="pct"/>
            <w:shd w:val="clear" w:color="auto" w:fill="D9D9D9" w:themeFill="background1" w:themeFillShade="D9"/>
          </w:tcPr>
          <w:p w14:paraId="48405758" w14:textId="77777777" w:rsidR="00886D9D" w:rsidRPr="00886D9D" w:rsidRDefault="00886D9D" w:rsidP="00886D9D">
            <w:pPr>
              <w:rPr>
                <w:b/>
                <w:szCs w:val="20"/>
              </w:rPr>
            </w:pPr>
            <w:r w:rsidRPr="00886D9D">
              <w:rPr>
                <w:b/>
                <w:szCs w:val="20"/>
              </w:rPr>
              <w:t>WP Developer Response</w:t>
            </w:r>
          </w:p>
        </w:tc>
      </w:tr>
      <w:tr w:rsidR="00886D9D" w:rsidRPr="00886D9D" w14:paraId="1BD08712" w14:textId="77777777" w:rsidTr="00266FB8">
        <w:trPr>
          <w:trHeight w:val="20"/>
        </w:trPr>
        <w:tc>
          <w:tcPr>
            <w:tcW w:w="280" w:type="pct"/>
          </w:tcPr>
          <w:p w14:paraId="76209A93" w14:textId="77777777" w:rsidR="00886D9D" w:rsidRPr="00886D9D" w:rsidRDefault="00886D9D" w:rsidP="00886D9D">
            <w:pPr>
              <w:rPr>
                <w:bCs/>
                <w:color w:val="FF0000"/>
              </w:rPr>
            </w:pPr>
          </w:p>
        </w:tc>
        <w:tc>
          <w:tcPr>
            <w:tcW w:w="351" w:type="pct"/>
          </w:tcPr>
          <w:p w14:paraId="5BD6E4A0" w14:textId="77777777" w:rsidR="00886D9D" w:rsidRPr="00886D9D" w:rsidRDefault="00886D9D" w:rsidP="00886D9D">
            <w:pPr>
              <w:rPr>
                <w:bCs/>
                <w:color w:val="FF0000"/>
                <w:szCs w:val="20"/>
              </w:rPr>
            </w:pPr>
          </w:p>
        </w:tc>
        <w:tc>
          <w:tcPr>
            <w:tcW w:w="548" w:type="pct"/>
          </w:tcPr>
          <w:p w14:paraId="5E0DA544" w14:textId="77777777" w:rsidR="00886D9D" w:rsidRPr="00886D9D" w:rsidRDefault="00886D9D" w:rsidP="00886D9D">
            <w:pPr>
              <w:rPr>
                <w:bCs/>
                <w:color w:val="FF0000"/>
                <w:szCs w:val="20"/>
              </w:rPr>
            </w:pPr>
          </w:p>
        </w:tc>
        <w:tc>
          <w:tcPr>
            <w:tcW w:w="552" w:type="pct"/>
          </w:tcPr>
          <w:p w14:paraId="4C8A050F" w14:textId="77777777" w:rsidR="00886D9D" w:rsidRPr="00886D9D" w:rsidRDefault="00886D9D" w:rsidP="00886D9D">
            <w:pPr>
              <w:rPr>
                <w:bCs/>
                <w:color w:val="FF0000"/>
                <w:szCs w:val="20"/>
              </w:rPr>
            </w:pPr>
          </w:p>
        </w:tc>
        <w:tc>
          <w:tcPr>
            <w:tcW w:w="1634" w:type="pct"/>
          </w:tcPr>
          <w:p w14:paraId="65F0E4BE" w14:textId="77777777" w:rsidR="00886D9D" w:rsidRPr="00886D9D" w:rsidRDefault="00886D9D" w:rsidP="004D486C">
            <w:pPr>
              <w:contextualSpacing/>
              <w:rPr>
                <w:bCs/>
                <w:szCs w:val="20"/>
              </w:rPr>
            </w:pPr>
          </w:p>
        </w:tc>
        <w:tc>
          <w:tcPr>
            <w:tcW w:w="1634" w:type="pct"/>
          </w:tcPr>
          <w:p w14:paraId="6584341F" w14:textId="77777777" w:rsidR="00886D9D" w:rsidRPr="00886D9D" w:rsidRDefault="00886D9D" w:rsidP="004D486C">
            <w:pPr>
              <w:contextualSpacing/>
              <w:rPr>
                <w:bCs/>
                <w:szCs w:val="20"/>
              </w:rPr>
            </w:pPr>
          </w:p>
        </w:tc>
      </w:tr>
      <w:tr w:rsidR="00886D9D" w:rsidRPr="00886D9D" w14:paraId="65074F5E" w14:textId="77777777" w:rsidTr="00266FB8">
        <w:trPr>
          <w:trHeight w:val="20"/>
        </w:trPr>
        <w:tc>
          <w:tcPr>
            <w:tcW w:w="280" w:type="pct"/>
          </w:tcPr>
          <w:p w14:paraId="29DA700B" w14:textId="77777777" w:rsidR="00886D9D" w:rsidRPr="00886D9D" w:rsidRDefault="00886D9D" w:rsidP="00886D9D">
            <w:pPr>
              <w:rPr>
                <w:color w:val="FF0000"/>
              </w:rPr>
            </w:pPr>
          </w:p>
        </w:tc>
        <w:tc>
          <w:tcPr>
            <w:tcW w:w="351" w:type="pct"/>
          </w:tcPr>
          <w:p w14:paraId="3C0919CF" w14:textId="77777777" w:rsidR="00886D9D" w:rsidRPr="00886D9D" w:rsidRDefault="00886D9D" w:rsidP="00886D9D">
            <w:pPr>
              <w:autoSpaceDE w:val="0"/>
              <w:autoSpaceDN w:val="0"/>
              <w:adjustRightInd w:val="0"/>
              <w:rPr>
                <w:color w:val="FF0000"/>
                <w:szCs w:val="20"/>
              </w:rPr>
            </w:pPr>
          </w:p>
        </w:tc>
        <w:tc>
          <w:tcPr>
            <w:tcW w:w="548" w:type="pct"/>
          </w:tcPr>
          <w:p w14:paraId="442FDC70" w14:textId="77777777" w:rsidR="00886D9D" w:rsidRPr="00886D9D" w:rsidRDefault="00886D9D" w:rsidP="00886D9D">
            <w:pPr>
              <w:autoSpaceDE w:val="0"/>
              <w:autoSpaceDN w:val="0"/>
              <w:adjustRightInd w:val="0"/>
              <w:rPr>
                <w:color w:val="FF0000"/>
                <w:szCs w:val="20"/>
              </w:rPr>
            </w:pPr>
          </w:p>
        </w:tc>
        <w:tc>
          <w:tcPr>
            <w:tcW w:w="552" w:type="pct"/>
          </w:tcPr>
          <w:p w14:paraId="7B287E0A" w14:textId="77777777" w:rsidR="00886D9D" w:rsidRPr="00886D9D" w:rsidRDefault="00886D9D" w:rsidP="00886D9D">
            <w:pPr>
              <w:rPr>
                <w:color w:val="FF0000"/>
                <w:szCs w:val="20"/>
              </w:rPr>
            </w:pPr>
          </w:p>
        </w:tc>
        <w:tc>
          <w:tcPr>
            <w:tcW w:w="1634" w:type="pct"/>
          </w:tcPr>
          <w:p w14:paraId="5B783F2A" w14:textId="77777777" w:rsidR="00886D9D" w:rsidRPr="00886D9D" w:rsidRDefault="00886D9D" w:rsidP="004D486C">
            <w:pPr>
              <w:contextualSpacing/>
              <w:rPr>
                <w:bCs/>
                <w:szCs w:val="20"/>
              </w:rPr>
            </w:pPr>
          </w:p>
        </w:tc>
        <w:tc>
          <w:tcPr>
            <w:tcW w:w="1634" w:type="pct"/>
          </w:tcPr>
          <w:p w14:paraId="2F1C2013" w14:textId="77777777" w:rsidR="00886D9D" w:rsidRPr="00886D9D" w:rsidRDefault="00886D9D" w:rsidP="004D486C">
            <w:pPr>
              <w:contextualSpacing/>
              <w:rPr>
                <w:bCs/>
                <w:szCs w:val="20"/>
              </w:rPr>
            </w:pPr>
          </w:p>
        </w:tc>
      </w:tr>
      <w:tr w:rsidR="00886D9D" w:rsidRPr="00886D9D" w14:paraId="01513375" w14:textId="77777777" w:rsidTr="00266FB8">
        <w:trPr>
          <w:trHeight w:val="20"/>
        </w:trPr>
        <w:tc>
          <w:tcPr>
            <w:tcW w:w="280" w:type="pct"/>
          </w:tcPr>
          <w:p w14:paraId="647CBA83" w14:textId="77777777" w:rsidR="00886D9D" w:rsidRPr="00886D9D" w:rsidRDefault="00886D9D" w:rsidP="00886D9D"/>
        </w:tc>
        <w:tc>
          <w:tcPr>
            <w:tcW w:w="351" w:type="pct"/>
          </w:tcPr>
          <w:p w14:paraId="200C2CFA" w14:textId="77777777" w:rsidR="00886D9D" w:rsidRPr="00886D9D" w:rsidRDefault="00886D9D" w:rsidP="00886D9D">
            <w:pPr>
              <w:autoSpaceDE w:val="0"/>
              <w:autoSpaceDN w:val="0"/>
              <w:adjustRightInd w:val="0"/>
              <w:rPr>
                <w:szCs w:val="20"/>
              </w:rPr>
            </w:pPr>
          </w:p>
        </w:tc>
        <w:tc>
          <w:tcPr>
            <w:tcW w:w="548" w:type="pct"/>
          </w:tcPr>
          <w:p w14:paraId="0E263031" w14:textId="77777777" w:rsidR="00886D9D" w:rsidRPr="00886D9D" w:rsidRDefault="00886D9D" w:rsidP="00886D9D">
            <w:pPr>
              <w:autoSpaceDE w:val="0"/>
              <w:autoSpaceDN w:val="0"/>
              <w:adjustRightInd w:val="0"/>
              <w:rPr>
                <w:szCs w:val="20"/>
              </w:rPr>
            </w:pPr>
          </w:p>
        </w:tc>
        <w:tc>
          <w:tcPr>
            <w:tcW w:w="552" w:type="pct"/>
          </w:tcPr>
          <w:p w14:paraId="6A137235" w14:textId="77777777" w:rsidR="00886D9D" w:rsidRPr="00886D9D" w:rsidRDefault="00886D9D" w:rsidP="00886D9D">
            <w:pPr>
              <w:rPr>
                <w:szCs w:val="20"/>
              </w:rPr>
            </w:pPr>
          </w:p>
        </w:tc>
        <w:tc>
          <w:tcPr>
            <w:tcW w:w="1634" w:type="pct"/>
          </w:tcPr>
          <w:p w14:paraId="0711541E" w14:textId="77777777" w:rsidR="00886D9D" w:rsidRPr="00886D9D" w:rsidRDefault="00886D9D" w:rsidP="00886D9D">
            <w:pPr>
              <w:rPr>
                <w:bCs/>
                <w:szCs w:val="20"/>
              </w:rPr>
            </w:pPr>
          </w:p>
        </w:tc>
        <w:tc>
          <w:tcPr>
            <w:tcW w:w="1634" w:type="pct"/>
          </w:tcPr>
          <w:p w14:paraId="3ED4B5DA" w14:textId="77777777" w:rsidR="00886D9D" w:rsidRPr="00886D9D" w:rsidRDefault="00886D9D" w:rsidP="00886D9D">
            <w:pPr>
              <w:rPr>
                <w:bCs/>
                <w:szCs w:val="20"/>
              </w:rPr>
            </w:pPr>
          </w:p>
        </w:tc>
      </w:tr>
    </w:tbl>
    <w:p w14:paraId="232FB904" w14:textId="77777777" w:rsidR="00886D9D" w:rsidRPr="00886D9D" w:rsidRDefault="00886D9D" w:rsidP="00886D9D">
      <w:pPr>
        <w:spacing w:line="276" w:lineRule="auto"/>
        <w:rPr>
          <w:sz w:val="20"/>
          <w:szCs w:val="20"/>
        </w:rPr>
      </w:pPr>
      <w:r w:rsidRPr="00886D9D">
        <w:rPr>
          <w:sz w:val="20"/>
          <w:szCs w:val="20"/>
        </w:rPr>
        <w:t xml:space="preserve">Cal TF website: </w:t>
      </w:r>
      <w:hyperlink r:id="rId10" w:history="1">
        <w:r w:rsidRPr="00886D9D">
          <w:rPr>
            <w:color w:val="0000FF" w:themeColor="hyperlink"/>
            <w:sz w:val="20"/>
            <w:szCs w:val="20"/>
            <w:u w:val="single"/>
          </w:rPr>
          <w:t>http://www.caltf.org/</w:t>
        </w:r>
      </w:hyperlink>
      <w:r w:rsidRPr="00886D9D">
        <w:rPr>
          <w:sz w:val="20"/>
          <w:szCs w:val="20"/>
        </w:rPr>
        <w:t xml:space="preserve"> </w:t>
      </w:r>
    </w:p>
    <w:p w14:paraId="78D99A0E" w14:textId="77777777" w:rsidR="009500DC" w:rsidRPr="00397406" w:rsidRDefault="009500DC" w:rsidP="00DA690B">
      <w:pPr>
        <w:rPr>
          <w:rFonts w:cstheme="minorHAnsi"/>
        </w:rPr>
        <w:sectPr w:rsidR="009500DC" w:rsidRPr="00397406" w:rsidSect="007F7FBA">
          <w:footerReference w:type="default" r:id="rId11"/>
          <w:pgSz w:w="12240" w:h="15840"/>
          <w:pgMar w:top="1440" w:right="1440" w:bottom="1440" w:left="1440" w:header="720" w:footer="720" w:gutter="0"/>
          <w:pgNumType w:fmt="lowerRoman" w:start="1"/>
          <w:cols w:space="720"/>
          <w:docGrid w:linePitch="360"/>
        </w:sectPr>
      </w:pPr>
    </w:p>
    <w:p w14:paraId="4EF7FAFE" w14:textId="77777777" w:rsidR="00E16609" w:rsidRPr="00397406" w:rsidRDefault="00E16609" w:rsidP="00E16609">
      <w:pPr>
        <w:pStyle w:val="Heading1"/>
        <w:rPr>
          <w:rFonts w:cstheme="minorHAnsi"/>
        </w:rPr>
      </w:pPr>
      <w:r w:rsidRPr="00397406">
        <w:rPr>
          <w:rFonts w:cstheme="minorHAnsi"/>
        </w:rPr>
        <w:lastRenderedPageBreak/>
        <w:t>Section 1</w:t>
      </w:r>
      <w:r w:rsidR="00AE1A15">
        <w:rPr>
          <w:rFonts w:cstheme="minorHAnsi"/>
        </w:rPr>
        <w:t>.</w:t>
      </w:r>
      <w:r w:rsidRPr="00397406">
        <w:rPr>
          <w:rFonts w:cstheme="minorHAnsi"/>
        </w:rPr>
        <w:t xml:space="preserve"> General Measure &amp; Baseline Data</w:t>
      </w:r>
      <w:bookmarkEnd w:id="1"/>
    </w:p>
    <w:p w14:paraId="1A64B3B9" w14:textId="77777777" w:rsidR="00E16609" w:rsidRPr="00397406" w:rsidRDefault="00824F1C" w:rsidP="00697868">
      <w:pPr>
        <w:pStyle w:val="Heading2"/>
        <w:rPr>
          <w:rFonts w:asciiTheme="minorHAnsi" w:hAnsiTheme="minorHAnsi"/>
        </w:rPr>
      </w:pPr>
      <w:bookmarkStart w:id="8"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8"/>
    </w:p>
    <w:p w14:paraId="244F84B2" w14:textId="77777777" w:rsidR="00886D9D" w:rsidRDefault="001D6185">
      <w:r>
        <w:t xml:space="preserve">The measures covered in this work paper involve replacing Title 20 code complaint Electric Water Heaters with Heat Pump Water Heaters of </w:t>
      </w:r>
      <w:r w:rsidR="004D1ED6">
        <w:t>U</w:t>
      </w:r>
      <w:r>
        <w:t>EF 3.</w:t>
      </w:r>
      <w:r w:rsidR="004D1ED6">
        <w:t>09</w:t>
      </w:r>
      <w:r>
        <w:t xml:space="preserve"> or above.</w:t>
      </w:r>
    </w:p>
    <w:p w14:paraId="19A254E4" w14:textId="77777777" w:rsidR="00886D9D" w:rsidRPr="006B3FA7" w:rsidRDefault="00886D9D" w:rsidP="006B3FA7"/>
    <w:p w14:paraId="039F7976" w14:textId="77777777" w:rsidR="00886D9D" w:rsidRPr="00886D9D" w:rsidRDefault="00886D9D" w:rsidP="00886D9D">
      <w:pPr>
        <w:rPr>
          <w:b/>
          <w:szCs w:val="22"/>
        </w:rPr>
      </w:pPr>
      <w:r w:rsidRPr="00886D9D">
        <w:rPr>
          <w:b/>
          <w:szCs w:val="22"/>
        </w:rPr>
        <w:t>Base, Standard, and Measure Cases</w:t>
      </w:r>
    </w:p>
    <w:tbl>
      <w:tblPr>
        <w:tblStyle w:val="TableGrid13"/>
        <w:tblW w:w="5000" w:type="pct"/>
        <w:tblLook w:val="04A0" w:firstRow="1" w:lastRow="0" w:firstColumn="1" w:lastColumn="0" w:noHBand="0" w:noVBand="1"/>
      </w:tblPr>
      <w:tblGrid>
        <w:gridCol w:w="2809"/>
        <w:gridCol w:w="6541"/>
      </w:tblGrid>
      <w:tr w:rsidR="00886D9D" w:rsidRPr="00886D9D" w14:paraId="167DE5C8" w14:textId="77777777" w:rsidTr="00665B92">
        <w:trPr>
          <w:trHeight w:val="20"/>
        </w:trPr>
        <w:tc>
          <w:tcPr>
            <w:tcW w:w="1502" w:type="pct"/>
            <w:shd w:val="clear" w:color="auto" w:fill="D9D9D9" w:themeFill="background1" w:themeFillShade="D9"/>
          </w:tcPr>
          <w:p w14:paraId="1803540D" w14:textId="77777777" w:rsidR="00886D9D" w:rsidRPr="00886D9D" w:rsidRDefault="00886D9D" w:rsidP="00665B92">
            <w:pPr>
              <w:tabs>
                <w:tab w:val="num" w:pos="360"/>
              </w:tabs>
              <w:rPr>
                <w:rFonts w:cs="Arial"/>
                <w:b/>
                <w:szCs w:val="20"/>
              </w:rPr>
            </w:pPr>
            <w:r w:rsidRPr="00886D9D">
              <w:rPr>
                <w:rFonts w:cs="Arial"/>
                <w:b/>
                <w:szCs w:val="20"/>
              </w:rPr>
              <w:t>Case</w:t>
            </w:r>
          </w:p>
        </w:tc>
        <w:tc>
          <w:tcPr>
            <w:tcW w:w="3498" w:type="pct"/>
            <w:shd w:val="clear" w:color="auto" w:fill="D9D9D9" w:themeFill="background1" w:themeFillShade="D9"/>
          </w:tcPr>
          <w:p w14:paraId="52BC2255" w14:textId="77777777" w:rsidR="00886D9D" w:rsidRPr="00886D9D" w:rsidRDefault="00886D9D" w:rsidP="00665B92">
            <w:pPr>
              <w:tabs>
                <w:tab w:val="num" w:pos="360"/>
              </w:tabs>
              <w:rPr>
                <w:rFonts w:cstheme="minorHAnsi"/>
                <w:b/>
                <w:szCs w:val="20"/>
              </w:rPr>
            </w:pPr>
            <w:r w:rsidRPr="00886D9D">
              <w:rPr>
                <w:rFonts w:cstheme="minorHAnsi"/>
                <w:b/>
                <w:szCs w:val="20"/>
              </w:rPr>
              <w:t>Description of Typical Scenario</w:t>
            </w:r>
          </w:p>
        </w:tc>
      </w:tr>
      <w:tr w:rsidR="00886D9D" w:rsidRPr="00886D9D" w14:paraId="50D4F1AA" w14:textId="77777777" w:rsidTr="00665B92">
        <w:trPr>
          <w:trHeight w:val="20"/>
        </w:trPr>
        <w:tc>
          <w:tcPr>
            <w:tcW w:w="1502" w:type="pct"/>
          </w:tcPr>
          <w:p w14:paraId="76E4E765" w14:textId="77777777" w:rsidR="00886D9D" w:rsidRPr="00886D9D" w:rsidRDefault="00886D9D" w:rsidP="00665B92">
            <w:pPr>
              <w:tabs>
                <w:tab w:val="num" w:pos="360"/>
              </w:tabs>
              <w:rPr>
                <w:rFonts w:cstheme="minorHAnsi"/>
                <w:szCs w:val="22"/>
              </w:rPr>
            </w:pPr>
            <w:r w:rsidRPr="00886D9D">
              <w:rPr>
                <w:rFonts w:cs="Arial"/>
                <w:szCs w:val="20"/>
              </w:rPr>
              <w:t>Measure</w:t>
            </w:r>
          </w:p>
        </w:tc>
        <w:tc>
          <w:tcPr>
            <w:tcW w:w="3498" w:type="pct"/>
          </w:tcPr>
          <w:p w14:paraId="468E014E" w14:textId="77777777" w:rsidR="00886D9D" w:rsidRPr="00886D9D" w:rsidRDefault="00886D9D" w:rsidP="00665B92">
            <w:pPr>
              <w:rPr>
                <w:szCs w:val="20"/>
              </w:rPr>
            </w:pPr>
            <w:r w:rsidRPr="006B3FA7">
              <w:rPr>
                <w:rFonts w:cstheme="minorHAnsi"/>
                <w:szCs w:val="20"/>
              </w:rPr>
              <w:t>Heat Pump Water Heater</w:t>
            </w:r>
            <w:r w:rsidR="00A345BC">
              <w:rPr>
                <w:rFonts w:cstheme="minorHAnsi"/>
                <w:szCs w:val="20"/>
              </w:rPr>
              <w:t xml:space="preserve"> (Various sizes and efficiencies)</w:t>
            </w:r>
          </w:p>
        </w:tc>
      </w:tr>
      <w:tr w:rsidR="00886D9D" w:rsidRPr="00886D9D" w14:paraId="32C3C3DE" w14:textId="77777777" w:rsidTr="00665B92">
        <w:trPr>
          <w:trHeight w:val="20"/>
        </w:trPr>
        <w:tc>
          <w:tcPr>
            <w:tcW w:w="1502" w:type="pct"/>
          </w:tcPr>
          <w:p w14:paraId="1447E8EB" w14:textId="77777777" w:rsidR="00886D9D" w:rsidRPr="00886D9D" w:rsidRDefault="00886D9D" w:rsidP="00665B92">
            <w:pPr>
              <w:tabs>
                <w:tab w:val="num" w:pos="360"/>
              </w:tabs>
              <w:rPr>
                <w:rFonts w:cstheme="minorHAnsi"/>
                <w:szCs w:val="22"/>
              </w:rPr>
            </w:pPr>
            <w:r w:rsidRPr="00886D9D">
              <w:rPr>
                <w:rFonts w:cs="Arial"/>
                <w:szCs w:val="20"/>
              </w:rPr>
              <w:t>Existing Condition</w:t>
            </w:r>
          </w:p>
        </w:tc>
        <w:tc>
          <w:tcPr>
            <w:tcW w:w="3498" w:type="pct"/>
          </w:tcPr>
          <w:p w14:paraId="25BF30E7" w14:textId="77777777" w:rsidR="00886D9D" w:rsidRPr="00886D9D" w:rsidRDefault="009F1007">
            <w:pPr>
              <w:rPr>
                <w:i/>
                <w:szCs w:val="20"/>
              </w:rPr>
            </w:pPr>
            <w:r>
              <w:rPr>
                <w:rFonts w:cstheme="minorHAnsi"/>
                <w:szCs w:val="20"/>
              </w:rPr>
              <w:t>N/A</w:t>
            </w:r>
          </w:p>
        </w:tc>
      </w:tr>
      <w:tr w:rsidR="00886D9D" w:rsidRPr="00886D9D" w14:paraId="522C4143" w14:textId="77777777" w:rsidTr="00665B92">
        <w:trPr>
          <w:trHeight w:val="20"/>
        </w:trPr>
        <w:tc>
          <w:tcPr>
            <w:tcW w:w="1502" w:type="pct"/>
          </w:tcPr>
          <w:p w14:paraId="1B3DED19" w14:textId="77777777" w:rsidR="00886D9D" w:rsidRPr="00886D9D" w:rsidRDefault="00886D9D" w:rsidP="00665B92">
            <w:pPr>
              <w:tabs>
                <w:tab w:val="num" w:pos="360"/>
              </w:tabs>
              <w:rPr>
                <w:rFonts w:cs="Arial"/>
                <w:szCs w:val="20"/>
              </w:rPr>
            </w:pPr>
            <w:r w:rsidRPr="00886D9D">
              <w:rPr>
                <w:rFonts w:cs="Arial"/>
                <w:szCs w:val="20"/>
              </w:rPr>
              <w:t>Code/Standard</w:t>
            </w:r>
          </w:p>
        </w:tc>
        <w:tc>
          <w:tcPr>
            <w:tcW w:w="3498" w:type="pct"/>
          </w:tcPr>
          <w:p w14:paraId="31BD9C91" w14:textId="77777777" w:rsidR="00886D9D" w:rsidRPr="00886D9D" w:rsidRDefault="009C6E26">
            <w:pPr>
              <w:rPr>
                <w:szCs w:val="20"/>
              </w:rPr>
            </w:pPr>
            <w:r>
              <w:rPr>
                <w:szCs w:val="20"/>
              </w:rPr>
              <w:t>Title 20 Compliant Electric Water Heaters (EF = 0.94 or greater</w:t>
            </w:r>
            <w:r w:rsidR="009F1007">
              <w:rPr>
                <w:szCs w:val="20"/>
              </w:rPr>
              <w:t>, UEF=0.92</w:t>
            </w:r>
            <w:r>
              <w:rPr>
                <w:szCs w:val="20"/>
              </w:rPr>
              <w:t>)</w:t>
            </w:r>
          </w:p>
        </w:tc>
      </w:tr>
      <w:tr w:rsidR="00886D9D" w:rsidRPr="00886D9D" w14:paraId="0138C036" w14:textId="77777777" w:rsidTr="00665B92">
        <w:trPr>
          <w:trHeight w:val="20"/>
        </w:trPr>
        <w:tc>
          <w:tcPr>
            <w:tcW w:w="1502" w:type="pct"/>
          </w:tcPr>
          <w:p w14:paraId="06D09856" w14:textId="77777777" w:rsidR="00886D9D" w:rsidRPr="00886D9D" w:rsidRDefault="00886D9D" w:rsidP="00665B92">
            <w:pPr>
              <w:tabs>
                <w:tab w:val="num" w:pos="360"/>
              </w:tabs>
              <w:rPr>
                <w:rFonts w:cstheme="minorHAnsi"/>
                <w:szCs w:val="22"/>
              </w:rPr>
            </w:pPr>
            <w:r w:rsidRPr="00886D9D">
              <w:rPr>
                <w:rFonts w:cs="Arial"/>
                <w:szCs w:val="20"/>
              </w:rPr>
              <w:t>Industry Standard Practice</w:t>
            </w:r>
          </w:p>
        </w:tc>
        <w:tc>
          <w:tcPr>
            <w:tcW w:w="3498" w:type="pct"/>
          </w:tcPr>
          <w:p w14:paraId="0B70CB6D" w14:textId="77777777" w:rsidR="00886D9D" w:rsidRPr="00886D9D" w:rsidRDefault="009C6E26">
            <w:pPr>
              <w:rPr>
                <w:i/>
                <w:szCs w:val="20"/>
              </w:rPr>
            </w:pPr>
            <w:r>
              <w:rPr>
                <w:szCs w:val="20"/>
              </w:rPr>
              <w:t>Heat Pump Water Heater (</w:t>
            </w:r>
            <w:r w:rsidR="004D1ED6">
              <w:rPr>
                <w:szCs w:val="20"/>
              </w:rPr>
              <w:t>U</w:t>
            </w:r>
            <w:r>
              <w:rPr>
                <w:szCs w:val="20"/>
              </w:rPr>
              <w:t>EF=</w:t>
            </w:r>
            <w:r w:rsidR="004D1ED6">
              <w:rPr>
                <w:szCs w:val="20"/>
              </w:rPr>
              <w:t>2.91</w:t>
            </w:r>
            <w:r>
              <w:rPr>
                <w:szCs w:val="20"/>
              </w:rPr>
              <w:t>) for Base Capacities Above 55 Gallons</w:t>
            </w:r>
          </w:p>
        </w:tc>
      </w:tr>
    </w:tbl>
    <w:p w14:paraId="79328026" w14:textId="77777777" w:rsidR="00886D9D" w:rsidRPr="00886D9D" w:rsidRDefault="00886D9D" w:rsidP="00886D9D">
      <w:pPr>
        <w:rPr>
          <w:rFonts w:eastAsiaTheme="minorHAnsi" w:cstheme="minorBidi"/>
          <w:szCs w:val="22"/>
        </w:rPr>
      </w:pPr>
    </w:p>
    <w:p w14:paraId="216B3C47" w14:textId="77777777" w:rsidR="00886D9D" w:rsidRPr="00886D9D" w:rsidRDefault="00886D9D" w:rsidP="00886D9D">
      <w:pPr>
        <w:rPr>
          <w:rFonts w:cstheme="minorHAnsi"/>
          <w:b/>
          <w:bCs/>
          <w:szCs w:val="22"/>
        </w:rPr>
      </w:pPr>
      <w:r w:rsidRPr="00886D9D">
        <w:rPr>
          <w:rFonts w:cstheme="minorHAnsi"/>
          <w:b/>
          <w:bCs/>
          <w:szCs w:val="22"/>
        </w:rPr>
        <w:t>Measures and Codes</w:t>
      </w:r>
    </w:p>
    <w:tbl>
      <w:tblPr>
        <w:tblStyle w:val="TableGrid13"/>
        <w:tblW w:w="5000" w:type="pct"/>
        <w:tblLook w:val="04A0" w:firstRow="1" w:lastRow="0" w:firstColumn="1" w:lastColumn="0" w:noHBand="0" w:noVBand="1"/>
      </w:tblPr>
      <w:tblGrid>
        <w:gridCol w:w="1008"/>
        <w:gridCol w:w="1008"/>
        <w:gridCol w:w="1131"/>
        <w:gridCol w:w="1077"/>
        <w:gridCol w:w="5126"/>
      </w:tblGrid>
      <w:tr w:rsidR="00886D9D" w:rsidRPr="00886D9D" w14:paraId="262F6495" w14:textId="77777777" w:rsidTr="00463BD4">
        <w:tc>
          <w:tcPr>
            <w:tcW w:w="2259" w:type="pct"/>
            <w:gridSpan w:val="4"/>
            <w:shd w:val="clear" w:color="auto" w:fill="D9D9D9" w:themeFill="background1" w:themeFillShade="D9"/>
          </w:tcPr>
          <w:p w14:paraId="29F42239" w14:textId="77777777" w:rsidR="00886D9D" w:rsidRPr="00886D9D" w:rsidRDefault="00886D9D" w:rsidP="00665B92">
            <w:pPr>
              <w:rPr>
                <w:rFonts w:cstheme="minorHAnsi"/>
                <w:b/>
                <w:szCs w:val="20"/>
              </w:rPr>
            </w:pPr>
            <w:r w:rsidRPr="00886D9D">
              <w:rPr>
                <w:rFonts w:cstheme="minorHAnsi"/>
                <w:b/>
                <w:szCs w:val="20"/>
              </w:rPr>
              <w:t>Measure Codes</w:t>
            </w:r>
          </w:p>
        </w:tc>
        <w:tc>
          <w:tcPr>
            <w:tcW w:w="2741" w:type="pct"/>
            <w:vMerge w:val="restart"/>
            <w:shd w:val="clear" w:color="auto" w:fill="D9D9D9" w:themeFill="background1" w:themeFillShade="D9"/>
          </w:tcPr>
          <w:p w14:paraId="15D1A18D" w14:textId="77777777" w:rsidR="00886D9D" w:rsidRPr="00886D9D" w:rsidRDefault="00886D9D" w:rsidP="00665B92">
            <w:pPr>
              <w:rPr>
                <w:rFonts w:cstheme="minorHAnsi"/>
                <w:b/>
                <w:szCs w:val="20"/>
              </w:rPr>
            </w:pPr>
            <w:r w:rsidRPr="00886D9D">
              <w:rPr>
                <w:rFonts w:cstheme="minorHAnsi"/>
                <w:b/>
                <w:szCs w:val="20"/>
              </w:rPr>
              <w:t>Measure Name</w:t>
            </w:r>
          </w:p>
        </w:tc>
      </w:tr>
      <w:tr w:rsidR="00886D9D" w:rsidRPr="00886D9D" w14:paraId="55B09615" w14:textId="77777777" w:rsidTr="00463BD4">
        <w:tc>
          <w:tcPr>
            <w:tcW w:w="539" w:type="pct"/>
            <w:shd w:val="clear" w:color="auto" w:fill="F2F2F2" w:themeFill="background1" w:themeFillShade="F2"/>
          </w:tcPr>
          <w:p w14:paraId="0332711D" w14:textId="77777777" w:rsidR="00886D9D" w:rsidRPr="00886D9D" w:rsidRDefault="00886D9D" w:rsidP="00665B92">
            <w:pPr>
              <w:rPr>
                <w:rFonts w:cstheme="minorHAnsi"/>
                <w:szCs w:val="20"/>
              </w:rPr>
            </w:pPr>
            <w:r w:rsidRPr="00886D9D">
              <w:rPr>
                <w:rFonts w:cstheme="minorHAnsi"/>
                <w:szCs w:val="20"/>
              </w:rPr>
              <w:t>SCG</w:t>
            </w:r>
          </w:p>
        </w:tc>
        <w:tc>
          <w:tcPr>
            <w:tcW w:w="539" w:type="pct"/>
            <w:shd w:val="clear" w:color="auto" w:fill="F2F2F2" w:themeFill="background1" w:themeFillShade="F2"/>
          </w:tcPr>
          <w:p w14:paraId="412A15DD" w14:textId="77777777" w:rsidR="00886D9D" w:rsidRPr="00886D9D" w:rsidRDefault="00886D9D" w:rsidP="00665B92">
            <w:pPr>
              <w:rPr>
                <w:rFonts w:cstheme="minorHAnsi"/>
                <w:szCs w:val="20"/>
              </w:rPr>
            </w:pPr>
            <w:r w:rsidRPr="00886D9D">
              <w:rPr>
                <w:rFonts w:cstheme="minorHAnsi"/>
                <w:szCs w:val="20"/>
              </w:rPr>
              <w:t>SDG&amp;E</w:t>
            </w:r>
          </w:p>
        </w:tc>
        <w:tc>
          <w:tcPr>
            <w:tcW w:w="605" w:type="pct"/>
            <w:shd w:val="clear" w:color="auto" w:fill="F2F2F2" w:themeFill="background1" w:themeFillShade="F2"/>
          </w:tcPr>
          <w:p w14:paraId="06959F33" w14:textId="77777777" w:rsidR="00886D9D" w:rsidRPr="00886D9D" w:rsidRDefault="00886D9D" w:rsidP="00665B92">
            <w:pPr>
              <w:rPr>
                <w:rFonts w:cstheme="minorHAnsi"/>
                <w:szCs w:val="20"/>
              </w:rPr>
            </w:pPr>
            <w:r w:rsidRPr="00886D9D">
              <w:rPr>
                <w:rFonts w:cstheme="minorHAnsi"/>
                <w:szCs w:val="20"/>
              </w:rPr>
              <w:t>SCE</w:t>
            </w:r>
          </w:p>
        </w:tc>
        <w:tc>
          <w:tcPr>
            <w:tcW w:w="576" w:type="pct"/>
            <w:shd w:val="clear" w:color="auto" w:fill="F2F2F2" w:themeFill="background1" w:themeFillShade="F2"/>
          </w:tcPr>
          <w:p w14:paraId="35091ED3" w14:textId="77777777" w:rsidR="00886D9D" w:rsidRPr="00886D9D" w:rsidRDefault="00886D9D" w:rsidP="00665B92">
            <w:pPr>
              <w:rPr>
                <w:rFonts w:cstheme="minorHAnsi"/>
                <w:szCs w:val="20"/>
              </w:rPr>
            </w:pPr>
            <w:r w:rsidRPr="00886D9D">
              <w:rPr>
                <w:rFonts w:cstheme="minorHAnsi"/>
                <w:szCs w:val="20"/>
              </w:rPr>
              <w:t>PG&amp;E</w:t>
            </w:r>
          </w:p>
        </w:tc>
        <w:tc>
          <w:tcPr>
            <w:tcW w:w="2741" w:type="pct"/>
            <w:vMerge/>
          </w:tcPr>
          <w:p w14:paraId="39F06071" w14:textId="77777777" w:rsidR="00886D9D" w:rsidRPr="00886D9D" w:rsidRDefault="00886D9D" w:rsidP="00665B92">
            <w:pPr>
              <w:rPr>
                <w:rFonts w:cstheme="minorHAnsi"/>
                <w:szCs w:val="20"/>
              </w:rPr>
            </w:pPr>
          </w:p>
        </w:tc>
      </w:tr>
      <w:tr w:rsidR="00886D9D" w:rsidRPr="00886D9D" w14:paraId="5B010026" w14:textId="77777777" w:rsidTr="00463BD4">
        <w:trPr>
          <w:trHeight w:val="243"/>
        </w:trPr>
        <w:tc>
          <w:tcPr>
            <w:tcW w:w="539" w:type="pct"/>
          </w:tcPr>
          <w:p w14:paraId="727A84F5" w14:textId="77777777" w:rsidR="00886D9D" w:rsidRPr="00886D9D" w:rsidRDefault="00886D9D" w:rsidP="00665B92">
            <w:pPr>
              <w:rPr>
                <w:rFonts w:cstheme="minorHAnsi"/>
                <w:szCs w:val="20"/>
              </w:rPr>
            </w:pPr>
            <w:r w:rsidRPr="00886D9D">
              <w:rPr>
                <w:rFonts w:cstheme="minorHAnsi"/>
                <w:szCs w:val="20"/>
              </w:rPr>
              <w:t>N/A</w:t>
            </w:r>
          </w:p>
        </w:tc>
        <w:tc>
          <w:tcPr>
            <w:tcW w:w="539" w:type="pct"/>
          </w:tcPr>
          <w:p w14:paraId="614BA955" w14:textId="77777777" w:rsidR="00886D9D" w:rsidRPr="00886D9D" w:rsidRDefault="00886D9D" w:rsidP="00665B92">
            <w:pPr>
              <w:rPr>
                <w:rFonts w:cstheme="minorHAnsi"/>
                <w:szCs w:val="20"/>
              </w:rPr>
            </w:pPr>
            <w:r w:rsidRPr="00886D9D">
              <w:rPr>
                <w:rFonts w:cstheme="minorHAnsi"/>
                <w:szCs w:val="20"/>
              </w:rPr>
              <w:t>N/A</w:t>
            </w:r>
          </w:p>
        </w:tc>
        <w:tc>
          <w:tcPr>
            <w:tcW w:w="605" w:type="pct"/>
          </w:tcPr>
          <w:p w14:paraId="2EAC054F" w14:textId="77777777" w:rsidR="00886D9D" w:rsidRPr="00886D9D" w:rsidRDefault="00A345BC" w:rsidP="00665B92">
            <w:pPr>
              <w:rPr>
                <w:rFonts w:cstheme="minorHAnsi"/>
                <w:szCs w:val="20"/>
              </w:rPr>
            </w:pPr>
            <w:r>
              <w:rPr>
                <w:szCs w:val="20"/>
              </w:rPr>
              <w:t>WH-19955</w:t>
            </w:r>
          </w:p>
        </w:tc>
        <w:tc>
          <w:tcPr>
            <w:tcW w:w="576" w:type="pct"/>
          </w:tcPr>
          <w:p w14:paraId="185482F7" w14:textId="77777777" w:rsidR="00886D9D" w:rsidRPr="00886D9D" w:rsidRDefault="00886D9D" w:rsidP="00665B92">
            <w:pPr>
              <w:rPr>
                <w:rFonts w:cstheme="minorHAnsi"/>
                <w:szCs w:val="20"/>
              </w:rPr>
            </w:pPr>
            <w:r w:rsidRPr="00886D9D">
              <w:rPr>
                <w:rFonts w:cstheme="minorHAnsi"/>
                <w:szCs w:val="20"/>
              </w:rPr>
              <w:t>N/A</w:t>
            </w:r>
          </w:p>
        </w:tc>
        <w:tc>
          <w:tcPr>
            <w:tcW w:w="2741" w:type="pct"/>
          </w:tcPr>
          <w:p w14:paraId="7D30FA58" w14:textId="77777777" w:rsidR="00886D9D" w:rsidRPr="00886D9D" w:rsidRDefault="00A345BC">
            <w:pPr>
              <w:rPr>
                <w:color w:val="FF0000"/>
              </w:rPr>
            </w:pPr>
            <w:r w:rsidRPr="00451458">
              <w:t xml:space="preserve">Efficient water heater: </w:t>
            </w:r>
            <w:r w:rsidR="00CE6307">
              <w:t xml:space="preserve">50 to </w:t>
            </w:r>
            <w:r w:rsidRPr="00451458">
              <w:t>55 gallon HP Elec (</w:t>
            </w:r>
            <w:r w:rsidR="004D1ED6">
              <w:t>U</w:t>
            </w:r>
            <w:r w:rsidRPr="00451458">
              <w:t>EF=3.</w:t>
            </w:r>
            <w:r w:rsidR="004D1ED6">
              <w:t>09</w:t>
            </w:r>
            <w:r w:rsidRPr="00451458">
              <w:t>) replaces ≤35 gallon Electric water heater (</w:t>
            </w:r>
            <w:r w:rsidR="004D1ED6">
              <w:t>U</w:t>
            </w:r>
            <w:r w:rsidRPr="00451458">
              <w:t xml:space="preserve">EF </w:t>
            </w:r>
            <w:r w:rsidR="00FD04E4">
              <w:t xml:space="preserve">= </w:t>
            </w:r>
            <w:r w:rsidRPr="00451458">
              <w:t>0.9</w:t>
            </w:r>
            <w:r w:rsidR="004D1ED6">
              <w:t>2</w:t>
            </w:r>
            <w:r w:rsidRPr="00451458">
              <w:t>)</w:t>
            </w:r>
          </w:p>
        </w:tc>
      </w:tr>
      <w:tr w:rsidR="00A345BC" w:rsidRPr="00886D9D" w14:paraId="165BBA60" w14:textId="77777777" w:rsidTr="00463BD4">
        <w:trPr>
          <w:trHeight w:val="243"/>
        </w:trPr>
        <w:tc>
          <w:tcPr>
            <w:tcW w:w="539" w:type="pct"/>
          </w:tcPr>
          <w:p w14:paraId="506F8726"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61A0925F"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681C30FC" w14:textId="77777777" w:rsidR="00A345BC" w:rsidRDefault="00A345BC">
            <w:pPr>
              <w:rPr>
                <w:szCs w:val="20"/>
              </w:rPr>
            </w:pPr>
            <w:r>
              <w:rPr>
                <w:szCs w:val="20"/>
              </w:rPr>
              <w:t>WH-19956</w:t>
            </w:r>
          </w:p>
        </w:tc>
        <w:tc>
          <w:tcPr>
            <w:tcW w:w="576" w:type="pct"/>
          </w:tcPr>
          <w:p w14:paraId="1C9011A9"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5E023943" w14:textId="77777777" w:rsidR="00A345BC" w:rsidRPr="006B3FA7" w:rsidRDefault="00A345BC">
            <w:pPr>
              <w:rPr>
                <w:rFonts w:cstheme="minorHAnsi"/>
                <w:szCs w:val="20"/>
              </w:rPr>
            </w:pPr>
            <w:r w:rsidRPr="00A345BC">
              <w:t xml:space="preserve">Efficient water heater: </w:t>
            </w:r>
            <w:r w:rsidR="00CE6307">
              <w:t>50 to</w:t>
            </w:r>
            <w:r w:rsidRPr="00A345BC">
              <w:t xml:space="preserve"> 55 gallon HP Elec (</w:t>
            </w:r>
            <w:r w:rsidR="004D1ED6">
              <w:t>U</w:t>
            </w:r>
            <w:r w:rsidRPr="00A345BC">
              <w:t>EF=3.</w:t>
            </w:r>
            <w:r w:rsidR="004D1ED6">
              <w:t>31</w:t>
            </w:r>
            <w:r w:rsidRPr="00A345BC">
              <w:t>) replaces ≤35 gallon Electric water heater (</w:t>
            </w:r>
            <w:r w:rsidR="004D1ED6">
              <w:t>U</w:t>
            </w:r>
            <w:r w:rsidRPr="00A345BC">
              <w:t>EF</w:t>
            </w:r>
            <w:r w:rsidR="00FD04E4">
              <w:t xml:space="preserve"> =</w:t>
            </w:r>
            <w:r w:rsidRPr="00A345BC">
              <w:t xml:space="preserve"> 0.9</w:t>
            </w:r>
            <w:r w:rsidR="004D1ED6">
              <w:t>2</w:t>
            </w:r>
            <w:r w:rsidRPr="00A345BC">
              <w:t>)</w:t>
            </w:r>
          </w:p>
        </w:tc>
      </w:tr>
      <w:tr w:rsidR="00A345BC" w:rsidRPr="00886D9D" w14:paraId="010EA1E8" w14:textId="77777777" w:rsidTr="00463BD4">
        <w:trPr>
          <w:trHeight w:val="243"/>
        </w:trPr>
        <w:tc>
          <w:tcPr>
            <w:tcW w:w="539" w:type="pct"/>
          </w:tcPr>
          <w:p w14:paraId="5809B217"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0702058F"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739BF352" w14:textId="77777777" w:rsidR="00A345BC" w:rsidRDefault="00A345BC">
            <w:pPr>
              <w:rPr>
                <w:szCs w:val="20"/>
              </w:rPr>
            </w:pPr>
            <w:r>
              <w:rPr>
                <w:szCs w:val="20"/>
              </w:rPr>
              <w:t>WH-19957</w:t>
            </w:r>
          </w:p>
        </w:tc>
        <w:tc>
          <w:tcPr>
            <w:tcW w:w="576" w:type="pct"/>
          </w:tcPr>
          <w:p w14:paraId="40D28FB8"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68E0544B" w14:textId="77777777" w:rsidR="00A345BC" w:rsidRPr="006B3FA7" w:rsidRDefault="00A345BC">
            <w:pPr>
              <w:rPr>
                <w:rFonts w:cstheme="minorHAnsi"/>
                <w:szCs w:val="20"/>
              </w:rPr>
            </w:pPr>
            <w:r w:rsidRPr="00A345BC">
              <w:t xml:space="preserve">Efficient water heater: </w:t>
            </w:r>
            <w:r w:rsidR="00CE6307">
              <w:t>50 to</w:t>
            </w:r>
            <w:r w:rsidRPr="00A345BC">
              <w:t xml:space="preserve"> 55 gallon HP Elec (</w:t>
            </w:r>
            <w:r w:rsidR="004D1ED6">
              <w:t>U</w:t>
            </w:r>
            <w:r w:rsidRPr="00A345BC">
              <w:t>EF=3.</w:t>
            </w:r>
            <w:r w:rsidR="004D1ED6">
              <w:t>09</w:t>
            </w:r>
            <w:r w:rsidRPr="00A345BC">
              <w:t>) replaces &gt;35 to 45 gallon Electric water heater (</w:t>
            </w:r>
            <w:r w:rsidR="004D1ED6">
              <w:t>U</w:t>
            </w:r>
            <w:r w:rsidRPr="00A345BC">
              <w:t>EF</w:t>
            </w:r>
            <w:r w:rsidR="00FD04E4">
              <w:t xml:space="preserve"> =</w:t>
            </w:r>
            <w:r w:rsidRPr="00A345BC">
              <w:t xml:space="preserve"> 0.9</w:t>
            </w:r>
            <w:r w:rsidR="004D1ED6">
              <w:t>2</w:t>
            </w:r>
            <w:r w:rsidRPr="00A345BC">
              <w:t>)</w:t>
            </w:r>
          </w:p>
        </w:tc>
      </w:tr>
      <w:tr w:rsidR="00A345BC" w:rsidRPr="00886D9D" w14:paraId="7075A784" w14:textId="77777777" w:rsidTr="00463BD4">
        <w:trPr>
          <w:trHeight w:val="243"/>
        </w:trPr>
        <w:tc>
          <w:tcPr>
            <w:tcW w:w="539" w:type="pct"/>
          </w:tcPr>
          <w:p w14:paraId="296600E6"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493D3333"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4BE200FC" w14:textId="77777777" w:rsidR="00A345BC" w:rsidRDefault="00A345BC">
            <w:pPr>
              <w:rPr>
                <w:szCs w:val="20"/>
              </w:rPr>
            </w:pPr>
            <w:r>
              <w:rPr>
                <w:szCs w:val="20"/>
              </w:rPr>
              <w:t>WH-19958</w:t>
            </w:r>
          </w:p>
        </w:tc>
        <w:tc>
          <w:tcPr>
            <w:tcW w:w="576" w:type="pct"/>
          </w:tcPr>
          <w:p w14:paraId="384C906D"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6C4D6702" w14:textId="77777777" w:rsidR="00A345BC" w:rsidRPr="006B3FA7" w:rsidRDefault="00A345BC">
            <w:pPr>
              <w:rPr>
                <w:rFonts w:cstheme="minorHAnsi"/>
                <w:szCs w:val="20"/>
              </w:rPr>
            </w:pPr>
            <w:r w:rsidRPr="00451458">
              <w:t xml:space="preserve">Efficient water heater: </w:t>
            </w:r>
            <w:r w:rsidR="00CE6307">
              <w:t>50 to</w:t>
            </w:r>
            <w:r w:rsidR="004D1ED6">
              <w:t xml:space="preserve"> 55</w:t>
            </w:r>
            <w:r w:rsidRPr="00451458">
              <w:t> gallon HP Elec (</w:t>
            </w:r>
            <w:r w:rsidR="004D1ED6">
              <w:t>U</w:t>
            </w:r>
            <w:r w:rsidRPr="00451458">
              <w:t>EF=3.</w:t>
            </w:r>
            <w:r w:rsidR="004D1ED6">
              <w:t>31</w:t>
            </w:r>
            <w:r w:rsidRPr="00451458">
              <w:t>) replaces &gt;35 to 45  gallon Electric water heater (</w:t>
            </w:r>
            <w:r w:rsidR="004D1ED6">
              <w:t>U</w:t>
            </w:r>
            <w:r w:rsidRPr="00451458">
              <w:t xml:space="preserve">EF </w:t>
            </w:r>
            <w:r w:rsidR="00FD04E4">
              <w:t xml:space="preserve">= </w:t>
            </w:r>
            <w:r w:rsidRPr="00451458">
              <w:t>0.9</w:t>
            </w:r>
            <w:r w:rsidR="004D1ED6">
              <w:t>2</w:t>
            </w:r>
            <w:r w:rsidRPr="00451458">
              <w:t>)</w:t>
            </w:r>
          </w:p>
        </w:tc>
      </w:tr>
      <w:tr w:rsidR="00A345BC" w:rsidRPr="00886D9D" w14:paraId="429BE3FA" w14:textId="77777777" w:rsidTr="00463BD4">
        <w:trPr>
          <w:trHeight w:val="243"/>
        </w:trPr>
        <w:tc>
          <w:tcPr>
            <w:tcW w:w="539" w:type="pct"/>
          </w:tcPr>
          <w:p w14:paraId="6CA87374"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156216C3"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6F1006C9" w14:textId="77777777" w:rsidR="00A345BC" w:rsidRDefault="00A345BC">
            <w:pPr>
              <w:rPr>
                <w:szCs w:val="20"/>
              </w:rPr>
            </w:pPr>
            <w:r>
              <w:rPr>
                <w:szCs w:val="20"/>
              </w:rPr>
              <w:t>WH-19959</w:t>
            </w:r>
          </w:p>
        </w:tc>
        <w:tc>
          <w:tcPr>
            <w:tcW w:w="576" w:type="pct"/>
          </w:tcPr>
          <w:p w14:paraId="54E145F4"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61458212" w14:textId="77777777" w:rsidR="00A345BC" w:rsidRPr="006B3FA7" w:rsidRDefault="00A345BC">
            <w:pPr>
              <w:rPr>
                <w:rFonts w:cstheme="minorHAnsi"/>
                <w:szCs w:val="20"/>
              </w:rPr>
            </w:pPr>
            <w:r w:rsidRPr="00451458">
              <w:t xml:space="preserve">Efficient water heater: </w:t>
            </w:r>
            <w:r w:rsidR="00CE6307">
              <w:t xml:space="preserve">50 to </w:t>
            </w:r>
            <w:r w:rsidR="004D1ED6">
              <w:t>55</w:t>
            </w:r>
            <w:r w:rsidRPr="00451458">
              <w:t> gallon HP Elec (</w:t>
            </w:r>
            <w:r w:rsidR="004D1ED6">
              <w:t>U</w:t>
            </w:r>
            <w:r w:rsidRPr="00451458">
              <w:t>EF=3</w:t>
            </w:r>
            <w:r w:rsidR="004D1ED6">
              <w:t>.09</w:t>
            </w:r>
            <w:r w:rsidRPr="00451458">
              <w:t>) replaces &gt;45 to 55 gallon Electric water heater (</w:t>
            </w:r>
            <w:r w:rsidR="004D1ED6">
              <w:t>U</w:t>
            </w:r>
            <w:r w:rsidRPr="00451458">
              <w:t>EF</w:t>
            </w:r>
            <w:r w:rsidR="00FD04E4">
              <w:t xml:space="preserve"> =</w:t>
            </w:r>
            <w:r w:rsidRPr="00451458">
              <w:t xml:space="preserve"> 0.9</w:t>
            </w:r>
            <w:r w:rsidR="004D1ED6">
              <w:t>2</w:t>
            </w:r>
            <w:r w:rsidRPr="00451458">
              <w:t>)</w:t>
            </w:r>
          </w:p>
        </w:tc>
      </w:tr>
      <w:tr w:rsidR="00A345BC" w:rsidRPr="00886D9D" w14:paraId="03A7748D" w14:textId="77777777" w:rsidTr="00463BD4">
        <w:trPr>
          <w:trHeight w:val="243"/>
        </w:trPr>
        <w:tc>
          <w:tcPr>
            <w:tcW w:w="539" w:type="pct"/>
          </w:tcPr>
          <w:p w14:paraId="7185B5D3"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319D4ED9"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7AE6A396" w14:textId="77777777" w:rsidR="00A345BC" w:rsidRDefault="00A345BC">
            <w:pPr>
              <w:rPr>
                <w:szCs w:val="20"/>
              </w:rPr>
            </w:pPr>
            <w:r>
              <w:rPr>
                <w:szCs w:val="20"/>
              </w:rPr>
              <w:t>WH-19960</w:t>
            </w:r>
          </w:p>
        </w:tc>
        <w:tc>
          <w:tcPr>
            <w:tcW w:w="576" w:type="pct"/>
          </w:tcPr>
          <w:p w14:paraId="7D1E99A4"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19F91501" w14:textId="77777777" w:rsidR="00A345BC" w:rsidRPr="006B3FA7" w:rsidRDefault="00A345BC">
            <w:pPr>
              <w:rPr>
                <w:rFonts w:cstheme="minorHAnsi"/>
                <w:szCs w:val="20"/>
              </w:rPr>
            </w:pPr>
            <w:r w:rsidRPr="00A345BC">
              <w:t xml:space="preserve">Efficient water heater: </w:t>
            </w:r>
            <w:r w:rsidR="00CE6307">
              <w:t xml:space="preserve">50 to </w:t>
            </w:r>
            <w:r w:rsidR="004D1ED6">
              <w:t xml:space="preserve">55 </w:t>
            </w:r>
            <w:r w:rsidRPr="00A345BC">
              <w:t>gallon HP Elec (</w:t>
            </w:r>
            <w:r w:rsidR="004D1ED6">
              <w:t>U</w:t>
            </w:r>
            <w:r w:rsidRPr="00A345BC">
              <w:t>EF=3.</w:t>
            </w:r>
            <w:r w:rsidR="004D1ED6">
              <w:t>31</w:t>
            </w:r>
            <w:r w:rsidRPr="00A345BC">
              <w:t>) replaces &gt;45 to 55  gallon Electric water heater (</w:t>
            </w:r>
            <w:r w:rsidR="004D1ED6">
              <w:t>U</w:t>
            </w:r>
            <w:r w:rsidRPr="00A345BC">
              <w:t>EF</w:t>
            </w:r>
            <w:r w:rsidR="00FD04E4">
              <w:t xml:space="preserve"> =</w:t>
            </w:r>
            <w:r w:rsidRPr="00A345BC">
              <w:t xml:space="preserve"> 0.9</w:t>
            </w:r>
            <w:r w:rsidR="004D1ED6">
              <w:t>2</w:t>
            </w:r>
            <w:r w:rsidRPr="00A345BC">
              <w:t>)</w:t>
            </w:r>
          </w:p>
        </w:tc>
      </w:tr>
      <w:tr w:rsidR="00A345BC" w:rsidRPr="00886D9D" w14:paraId="5DE38A23" w14:textId="77777777" w:rsidTr="00463BD4">
        <w:trPr>
          <w:trHeight w:val="243"/>
        </w:trPr>
        <w:tc>
          <w:tcPr>
            <w:tcW w:w="539" w:type="pct"/>
          </w:tcPr>
          <w:p w14:paraId="4A2EE6A4"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0452FBDF"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7E9548C3" w14:textId="77777777" w:rsidR="00A345BC" w:rsidRDefault="00A345BC">
            <w:pPr>
              <w:rPr>
                <w:szCs w:val="20"/>
              </w:rPr>
            </w:pPr>
            <w:r>
              <w:rPr>
                <w:szCs w:val="20"/>
              </w:rPr>
              <w:t>WH-19961</w:t>
            </w:r>
          </w:p>
        </w:tc>
        <w:tc>
          <w:tcPr>
            <w:tcW w:w="576" w:type="pct"/>
          </w:tcPr>
          <w:p w14:paraId="40156E3B"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11329DFC" w14:textId="77777777" w:rsidR="00A345BC" w:rsidRPr="006B3FA7" w:rsidRDefault="00A345BC" w:rsidP="00A345BC">
            <w:pPr>
              <w:rPr>
                <w:rFonts w:cstheme="minorHAnsi"/>
                <w:szCs w:val="20"/>
              </w:rPr>
            </w:pPr>
            <w:r w:rsidRPr="00451458">
              <w:t>Ef</w:t>
            </w:r>
            <w:r w:rsidR="004D1ED6">
              <w:t xml:space="preserve">ficient water heater: &gt;55 to 75 </w:t>
            </w:r>
            <w:r w:rsidRPr="00451458">
              <w:t>gallon HP Elec (</w:t>
            </w:r>
            <w:r w:rsidR="004D1ED6">
              <w:t>U</w:t>
            </w:r>
            <w:r w:rsidRPr="00451458">
              <w:t>EF=3.</w:t>
            </w:r>
            <w:r w:rsidR="004D1ED6">
              <w:t xml:space="preserve">33) replaces &gt;55 to 75 </w:t>
            </w:r>
            <w:r w:rsidRPr="00451458">
              <w:t>gallon Electric water heater (</w:t>
            </w:r>
            <w:r w:rsidR="004D1ED6">
              <w:t>UEF=2.91</w:t>
            </w:r>
            <w:r w:rsidRPr="00451458">
              <w:t>)</w:t>
            </w:r>
          </w:p>
        </w:tc>
      </w:tr>
      <w:tr w:rsidR="00A345BC" w:rsidRPr="00886D9D" w14:paraId="62247D6C" w14:textId="77777777" w:rsidTr="00463BD4">
        <w:trPr>
          <w:trHeight w:val="243"/>
        </w:trPr>
        <w:tc>
          <w:tcPr>
            <w:tcW w:w="539" w:type="pct"/>
          </w:tcPr>
          <w:p w14:paraId="7D374664" w14:textId="77777777" w:rsidR="00A345BC" w:rsidRPr="00886D9D" w:rsidRDefault="00A345BC" w:rsidP="00A345BC">
            <w:pPr>
              <w:rPr>
                <w:rFonts w:cstheme="minorHAnsi"/>
                <w:szCs w:val="20"/>
              </w:rPr>
            </w:pPr>
            <w:r w:rsidRPr="00886D9D">
              <w:rPr>
                <w:rFonts w:cstheme="minorHAnsi"/>
                <w:szCs w:val="20"/>
              </w:rPr>
              <w:t>N/A</w:t>
            </w:r>
          </w:p>
        </w:tc>
        <w:tc>
          <w:tcPr>
            <w:tcW w:w="539" w:type="pct"/>
          </w:tcPr>
          <w:p w14:paraId="4C9456D3" w14:textId="77777777" w:rsidR="00A345BC" w:rsidRPr="00886D9D" w:rsidRDefault="00A345BC" w:rsidP="00A345BC">
            <w:pPr>
              <w:rPr>
                <w:rFonts w:cstheme="minorHAnsi"/>
                <w:szCs w:val="20"/>
              </w:rPr>
            </w:pPr>
            <w:r w:rsidRPr="00886D9D">
              <w:rPr>
                <w:rFonts w:cstheme="minorHAnsi"/>
                <w:szCs w:val="20"/>
              </w:rPr>
              <w:t>N/A</w:t>
            </w:r>
          </w:p>
        </w:tc>
        <w:tc>
          <w:tcPr>
            <w:tcW w:w="605" w:type="pct"/>
          </w:tcPr>
          <w:p w14:paraId="71D3B717" w14:textId="77777777" w:rsidR="00A345BC" w:rsidRDefault="00A345BC">
            <w:pPr>
              <w:rPr>
                <w:szCs w:val="20"/>
              </w:rPr>
            </w:pPr>
            <w:r>
              <w:rPr>
                <w:szCs w:val="20"/>
              </w:rPr>
              <w:t>WH-19962</w:t>
            </w:r>
          </w:p>
        </w:tc>
        <w:tc>
          <w:tcPr>
            <w:tcW w:w="576" w:type="pct"/>
          </w:tcPr>
          <w:p w14:paraId="6223D069" w14:textId="77777777" w:rsidR="00A345BC" w:rsidRPr="00886D9D" w:rsidRDefault="00A345BC" w:rsidP="00A345BC">
            <w:pPr>
              <w:rPr>
                <w:rFonts w:cstheme="minorHAnsi"/>
                <w:szCs w:val="20"/>
              </w:rPr>
            </w:pPr>
            <w:r w:rsidRPr="00886D9D">
              <w:rPr>
                <w:rFonts w:cstheme="minorHAnsi"/>
                <w:szCs w:val="20"/>
              </w:rPr>
              <w:t>N/A</w:t>
            </w:r>
          </w:p>
        </w:tc>
        <w:tc>
          <w:tcPr>
            <w:tcW w:w="2741" w:type="pct"/>
          </w:tcPr>
          <w:p w14:paraId="12FF2B15" w14:textId="77777777" w:rsidR="00A345BC" w:rsidRPr="006B3FA7" w:rsidRDefault="00A345BC" w:rsidP="00A345BC">
            <w:pPr>
              <w:rPr>
                <w:rFonts w:cstheme="minorHAnsi"/>
                <w:szCs w:val="20"/>
              </w:rPr>
            </w:pPr>
            <w:r w:rsidRPr="00451458">
              <w:t>Efficient water heater: &gt;75 gallon HP Elec (</w:t>
            </w:r>
            <w:r w:rsidR="004D1ED6">
              <w:t>U</w:t>
            </w:r>
            <w:r w:rsidRPr="00451458">
              <w:t>EF=3.</w:t>
            </w:r>
            <w:r w:rsidR="004D1ED6">
              <w:t>42</w:t>
            </w:r>
            <w:r w:rsidRPr="00451458">
              <w:t>) replaces &gt;75 gallon Electric water heater (</w:t>
            </w:r>
            <w:r w:rsidR="004D1ED6">
              <w:t>U</w:t>
            </w:r>
            <w:r w:rsidRPr="00451458">
              <w:t>EF</w:t>
            </w:r>
            <w:r w:rsidR="004D1ED6">
              <w:t>=3.00</w:t>
            </w:r>
            <w:r w:rsidRPr="00451458">
              <w:t>)</w:t>
            </w:r>
          </w:p>
        </w:tc>
      </w:tr>
    </w:tbl>
    <w:p w14:paraId="2CEC8C4D" w14:textId="77777777" w:rsidR="006B3FA7" w:rsidRPr="006B3FA7" w:rsidRDefault="006B3FA7" w:rsidP="006B3FA7"/>
    <w:p w14:paraId="09CF2750" w14:textId="77777777" w:rsidR="006B3FA7" w:rsidRPr="00333163" w:rsidRDefault="006B3FA7" w:rsidP="006B3FA7">
      <w:pPr>
        <w:rPr>
          <w:b/>
        </w:rPr>
      </w:pPr>
      <w:r w:rsidRPr="00333163">
        <w:rPr>
          <w:b/>
        </w:rPr>
        <w:t>Measure Requirements</w:t>
      </w:r>
    </w:p>
    <w:p w14:paraId="6B23EA86" w14:textId="77777777" w:rsidR="006B3FA7" w:rsidRPr="006B3FA7" w:rsidRDefault="006B3FA7" w:rsidP="006B3FA7">
      <w:pPr>
        <w:numPr>
          <w:ilvl w:val="0"/>
          <w:numId w:val="14"/>
        </w:numPr>
        <w:contextualSpacing/>
      </w:pPr>
      <w:r w:rsidRPr="006B3FA7">
        <w:t>“Instantaneous” and “tank</w:t>
      </w:r>
      <w:r>
        <w:t xml:space="preserve"> </w:t>
      </w:r>
      <w:r w:rsidRPr="006B3FA7">
        <w:t>less” water heaters do not qualify.</w:t>
      </w:r>
    </w:p>
    <w:p w14:paraId="13098883" w14:textId="2557007A" w:rsidR="006B3FA7" w:rsidRPr="006B3FA7" w:rsidRDefault="006B3FA7" w:rsidP="006B3FA7">
      <w:pPr>
        <w:numPr>
          <w:ilvl w:val="0"/>
          <w:numId w:val="14"/>
        </w:numPr>
        <w:contextualSpacing/>
      </w:pPr>
      <w:r w:rsidRPr="006B3FA7">
        <w:t xml:space="preserve">The </w:t>
      </w:r>
      <w:r w:rsidR="00AE28B2">
        <w:t xml:space="preserve">installed </w:t>
      </w:r>
      <w:r w:rsidRPr="006B3FA7">
        <w:t xml:space="preserve">water heater storage capacity must be </w:t>
      </w:r>
      <w:r w:rsidR="00A345BC">
        <w:rPr>
          <w:szCs w:val="22"/>
        </w:rPr>
        <w:t>50</w:t>
      </w:r>
      <w:r w:rsidR="00A345BC" w:rsidRPr="006B3FA7">
        <w:rPr>
          <w:szCs w:val="22"/>
        </w:rPr>
        <w:t xml:space="preserve"> </w:t>
      </w:r>
      <w:r w:rsidRPr="006B3FA7">
        <w:rPr>
          <w:szCs w:val="22"/>
        </w:rPr>
        <w:t>gallons or greater.</w:t>
      </w:r>
    </w:p>
    <w:p w14:paraId="6FC6BD96" w14:textId="77777777" w:rsidR="006B3FA7" w:rsidRPr="000638FD" w:rsidRDefault="006B3FA7" w:rsidP="006B3FA7">
      <w:pPr>
        <w:numPr>
          <w:ilvl w:val="0"/>
          <w:numId w:val="14"/>
        </w:numPr>
        <w:contextualSpacing/>
      </w:pPr>
      <w:r w:rsidRPr="006B3FA7">
        <w:rPr>
          <w:szCs w:val="22"/>
        </w:rPr>
        <w:t xml:space="preserve">Only residential-style electric storage water heaters qualify for this rebate. </w:t>
      </w:r>
      <w:r w:rsidRPr="006B3FA7">
        <w:t>A list of qualifying residential water heaters</w:t>
      </w:r>
      <w:r w:rsidRPr="006B3FA7">
        <w:rPr>
          <w:szCs w:val="22"/>
        </w:rPr>
        <w:t xml:space="preserve"> is at: </w:t>
      </w:r>
      <w:hyperlink r:id="rId12" w:history="1">
        <w:r w:rsidRPr="006B3FA7">
          <w:rPr>
            <w:rFonts w:cstheme="minorHAnsi"/>
            <w:szCs w:val="22"/>
            <w:u w:val="single"/>
          </w:rPr>
          <w:t>www.sce.com/appliances</w:t>
        </w:r>
      </w:hyperlink>
      <w:r w:rsidRPr="006B3FA7">
        <w:rPr>
          <w:szCs w:val="22"/>
        </w:rPr>
        <w:t xml:space="preserve">. </w:t>
      </w:r>
    </w:p>
    <w:p w14:paraId="366425F1" w14:textId="77777777" w:rsidR="000638FD" w:rsidRPr="006B3FA7" w:rsidRDefault="000638FD" w:rsidP="000638FD">
      <w:pPr>
        <w:ind w:left="720"/>
        <w:contextualSpacing/>
      </w:pPr>
    </w:p>
    <w:p w14:paraId="3B107188" w14:textId="77777777" w:rsidR="006B3FA7" w:rsidRPr="006B3FA7" w:rsidRDefault="000638FD" w:rsidP="006B3FA7">
      <w:r w:rsidRPr="006B3FA7">
        <w:rPr>
          <w:b/>
        </w:rPr>
        <w:t>Market Applicability</w:t>
      </w:r>
    </w:p>
    <w:p w14:paraId="00E0463A" w14:textId="77777777" w:rsidR="006B3FA7" w:rsidRPr="006B3FA7" w:rsidRDefault="006B3FA7" w:rsidP="006B3FA7">
      <w:r w:rsidRPr="006B3FA7">
        <w:t>This measure is applicable to single-family, multi-family, and double-wide mobile home residential building types. The most significant barrier to water heater retrofit is the existing nature of water heater replacement. Two-thirds of consumers replace their water heaters due to the sudden failure of their existing water heater. When a water heater suddenly fails, most consumers purchase replacements that are the cheapest and most readily available model that are also easy to install. These prevailing attitudes do not encourage consumers to make the extra effort to find more advanced, energy-efficient technologies that are now available on the market.</w:t>
      </w:r>
    </w:p>
    <w:p w14:paraId="36F2CE0D" w14:textId="77777777" w:rsidR="00E16609" w:rsidRPr="00397406" w:rsidRDefault="00E16609" w:rsidP="00697868">
      <w:pPr>
        <w:pStyle w:val="Heading2"/>
        <w:rPr>
          <w:rFonts w:asciiTheme="minorHAnsi" w:hAnsiTheme="minorHAnsi"/>
        </w:rPr>
      </w:pPr>
      <w:r w:rsidRPr="00397406">
        <w:rPr>
          <w:rFonts w:asciiTheme="minorHAnsi" w:hAnsiTheme="minorHAnsi"/>
        </w:rPr>
        <w:lastRenderedPageBreak/>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14:paraId="1BD79E4B" w14:textId="77777777" w:rsidR="006B3FA7" w:rsidRPr="006B3FA7" w:rsidRDefault="006B3FA7" w:rsidP="006B3FA7">
      <w:r w:rsidRPr="006B3FA7">
        <w:t xml:space="preserve">Conventional electric-resistance water heaters usually consist of a glass-lined steel tank with foam insulation. Energy efficient units have greater amount of insulation. Located at the base and top end of the tank are two electrical heating elements. Cold water enters the base of the tank and is heated by the lower electrical heating element. The water then rises to the top portion of the tank. This is where the hot water is drawn for consumption. During periods of high demand, the electrical heating element located at the top end of the tank can be turned on to provide additional water heating. </w:t>
      </w:r>
    </w:p>
    <w:p w14:paraId="39E072D2" w14:textId="77777777" w:rsidR="006B3FA7" w:rsidRPr="006B3FA7" w:rsidRDefault="006B3FA7" w:rsidP="006B3FA7"/>
    <w:p w14:paraId="72A1B861" w14:textId="77777777" w:rsidR="006B3FA7" w:rsidRPr="006B3FA7" w:rsidRDefault="006B3FA7" w:rsidP="006B3FA7">
      <w:r w:rsidRPr="006B3FA7">
        <w:t xml:space="preserve">Heat pump water heaters heat water using a heat pump, allowing them to achieve much higher efficiency (energy factor), compared to electric-resistance water heaters. Similar to electric-resistance water heaters, most heat pump water heaters consists of a glass-lined steel tank with foam insulation. Heat pump waters water heaters are typically equipped with supplemental electric-resistance elements for periods of high demand. </w:t>
      </w:r>
    </w:p>
    <w:p w14:paraId="412B5620" w14:textId="77777777" w:rsidR="008B1357" w:rsidRDefault="00697868" w:rsidP="006B3FA7">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6B3FA7">
        <w:rPr>
          <w:rFonts w:asciiTheme="minorHAnsi" w:hAnsiTheme="minorHAnsi"/>
        </w:rPr>
        <w:t>Mechanism</w:t>
      </w:r>
    </w:p>
    <w:p w14:paraId="3693F140" w14:textId="77777777" w:rsidR="00CA5DC4" w:rsidRDefault="00CA5DC4" w:rsidP="00CA5DC4"/>
    <w:p w14:paraId="649B061B" w14:textId="77777777" w:rsidR="00CA5DC4" w:rsidRPr="006B3FA7" w:rsidRDefault="00CA5DC4" w:rsidP="00CA5DC4">
      <w:r w:rsidRPr="006B3FA7">
        <w:t>The delivery method for the above measure is:</w:t>
      </w:r>
    </w:p>
    <w:p w14:paraId="20D7C133" w14:textId="77777777" w:rsidR="008A433B" w:rsidRDefault="00CA5DC4" w:rsidP="00CA5DC4">
      <w:pPr>
        <w:numPr>
          <w:ilvl w:val="0"/>
          <w:numId w:val="15"/>
        </w:numPr>
      </w:pPr>
      <w:r w:rsidRPr="006B3FA7">
        <w:t>Financial Support / Down-Stream Incentive –Deemed</w:t>
      </w:r>
    </w:p>
    <w:p w14:paraId="0BD13198" w14:textId="77777777" w:rsidR="008A433B" w:rsidRDefault="008A433B" w:rsidP="008A433B">
      <w:pPr>
        <w:numPr>
          <w:ilvl w:val="0"/>
          <w:numId w:val="15"/>
        </w:numPr>
      </w:pPr>
      <w:r>
        <w:t>Up-Stream Programs/ Up-Stream Incentive</w:t>
      </w:r>
    </w:p>
    <w:p w14:paraId="2A461C31" w14:textId="3787DF02" w:rsidR="00CA5DC4" w:rsidRPr="006B3FA7" w:rsidRDefault="008A433B" w:rsidP="008A433B">
      <w:pPr>
        <w:numPr>
          <w:ilvl w:val="0"/>
          <w:numId w:val="15"/>
        </w:numPr>
      </w:pPr>
      <w:r>
        <w:t>Mid-Stream Programs/ Mid-Stream Incentive</w:t>
      </w:r>
    </w:p>
    <w:p w14:paraId="5EB44A3B" w14:textId="77777777" w:rsidR="00CA5DC4" w:rsidRPr="006B3FA7" w:rsidRDefault="00CA5DC4" w:rsidP="00CA5DC4"/>
    <w:p w14:paraId="4590AFBF" w14:textId="77777777" w:rsidR="00CA5DC4" w:rsidRDefault="00CA5DC4" w:rsidP="00CA5DC4">
      <w:r w:rsidRPr="006B3FA7">
        <w:t>The program/install type for the above measure is:</w:t>
      </w:r>
      <w:r>
        <w:t xml:space="preserve">  </w:t>
      </w:r>
    </w:p>
    <w:p w14:paraId="5AB304F5" w14:textId="77777777" w:rsidR="00CA5DC4" w:rsidRDefault="00CA5DC4" w:rsidP="00CA5DC4">
      <w:pPr>
        <w:pStyle w:val="ListParagraph"/>
        <w:numPr>
          <w:ilvl w:val="0"/>
          <w:numId w:val="19"/>
        </w:numPr>
      </w:pPr>
      <w:r w:rsidRPr="006B3FA7">
        <w:t>Replace on Burnout (ROB)</w:t>
      </w:r>
    </w:p>
    <w:p w14:paraId="20D20B4A" w14:textId="77777777" w:rsidR="00CA5DC4" w:rsidRPr="00CA5DC4" w:rsidRDefault="00CA5DC4" w:rsidP="00CA5DC4"/>
    <w:p w14:paraId="3507D905" w14:textId="77777777" w:rsidR="00CE402E" w:rsidRPr="00CE402E" w:rsidRDefault="00CE402E" w:rsidP="00CE402E">
      <w:pPr>
        <w:rPr>
          <w:rFonts w:eastAsiaTheme="minorHAnsi" w:cstheme="minorHAnsi"/>
          <w:b/>
          <w:i/>
          <w:szCs w:val="22"/>
        </w:rPr>
      </w:pPr>
      <w:bookmarkStart w:id="9" w:name="_Toc214003084"/>
      <w:r w:rsidRPr="00CE402E">
        <w:rPr>
          <w:rFonts w:eastAsiaTheme="minorHAnsi" w:cstheme="minorBidi"/>
          <w:b/>
          <w:szCs w:val="22"/>
        </w:rPr>
        <w:t>Installation Type Descriptions</w:t>
      </w:r>
    </w:p>
    <w:tbl>
      <w:tblPr>
        <w:tblStyle w:val="TableGrid12"/>
        <w:tblW w:w="5000" w:type="pct"/>
        <w:tblLayout w:type="fixed"/>
        <w:tblLook w:val="04A0" w:firstRow="1" w:lastRow="0" w:firstColumn="1" w:lastColumn="0" w:noHBand="0" w:noVBand="1"/>
      </w:tblPr>
      <w:tblGrid>
        <w:gridCol w:w="3325"/>
        <w:gridCol w:w="2070"/>
        <w:gridCol w:w="2072"/>
        <w:gridCol w:w="899"/>
        <w:gridCol w:w="984"/>
      </w:tblGrid>
      <w:tr w:rsidR="00CE402E" w:rsidRPr="00CE402E" w14:paraId="70838AED" w14:textId="77777777" w:rsidTr="00CE402E">
        <w:trPr>
          <w:trHeight w:val="20"/>
        </w:trPr>
        <w:tc>
          <w:tcPr>
            <w:tcW w:w="1778" w:type="pct"/>
            <w:vMerge w:val="restart"/>
            <w:shd w:val="clear" w:color="auto" w:fill="D9D9D9" w:themeFill="background1" w:themeFillShade="D9"/>
          </w:tcPr>
          <w:p w14:paraId="091D6511" w14:textId="77777777" w:rsidR="00CE402E" w:rsidRPr="00CE402E" w:rsidRDefault="00CE402E" w:rsidP="00CE402E">
            <w:pPr>
              <w:rPr>
                <w:b/>
                <w:sz w:val="18"/>
                <w:szCs w:val="18"/>
              </w:rPr>
            </w:pPr>
            <w:r w:rsidRPr="00CE402E">
              <w:rPr>
                <w:b/>
                <w:sz w:val="18"/>
                <w:szCs w:val="18"/>
              </w:rPr>
              <w:t>Installation Type</w:t>
            </w:r>
          </w:p>
        </w:tc>
        <w:tc>
          <w:tcPr>
            <w:tcW w:w="2215" w:type="pct"/>
            <w:gridSpan w:val="2"/>
            <w:shd w:val="clear" w:color="auto" w:fill="D9D9D9" w:themeFill="background1" w:themeFillShade="D9"/>
          </w:tcPr>
          <w:p w14:paraId="47BB0542" w14:textId="77777777" w:rsidR="00CE402E" w:rsidRPr="00CE402E" w:rsidRDefault="00CE402E" w:rsidP="00CE402E">
            <w:pPr>
              <w:rPr>
                <w:b/>
                <w:sz w:val="18"/>
                <w:szCs w:val="18"/>
              </w:rPr>
            </w:pPr>
            <w:r w:rsidRPr="00CE402E">
              <w:rPr>
                <w:b/>
                <w:sz w:val="18"/>
                <w:szCs w:val="18"/>
              </w:rPr>
              <w:t>Savings</w:t>
            </w:r>
          </w:p>
        </w:tc>
        <w:tc>
          <w:tcPr>
            <w:tcW w:w="1007" w:type="pct"/>
            <w:gridSpan w:val="2"/>
            <w:shd w:val="clear" w:color="auto" w:fill="D9D9D9" w:themeFill="background1" w:themeFillShade="D9"/>
          </w:tcPr>
          <w:p w14:paraId="6CC584C6" w14:textId="77777777" w:rsidR="00CE402E" w:rsidRPr="00CE402E" w:rsidRDefault="00CE402E" w:rsidP="00CE402E">
            <w:pPr>
              <w:rPr>
                <w:b/>
                <w:sz w:val="18"/>
                <w:szCs w:val="18"/>
              </w:rPr>
            </w:pPr>
            <w:r w:rsidRPr="00CE402E">
              <w:rPr>
                <w:b/>
                <w:sz w:val="18"/>
                <w:szCs w:val="18"/>
              </w:rPr>
              <w:t>Life</w:t>
            </w:r>
          </w:p>
        </w:tc>
      </w:tr>
      <w:tr w:rsidR="00CE402E" w:rsidRPr="00CE402E" w14:paraId="7A5DA55F" w14:textId="77777777" w:rsidTr="00CE402E">
        <w:trPr>
          <w:trHeight w:val="20"/>
        </w:trPr>
        <w:tc>
          <w:tcPr>
            <w:tcW w:w="1778" w:type="pct"/>
            <w:vMerge/>
            <w:shd w:val="clear" w:color="auto" w:fill="D9D9D9" w:themeFill="background1" w:themeFillShade="D9"/>
          </w:tcPr>
          <w:p w14:paraId="01758EA0" w14:textId="77777777" w:rsidR="00CE402E" w:rsidRPr="00CE402E" w:rsidRDefault="00CE402E" w:rsidP="00CE402E">
            <w:pPr>
              <w:rPr>
                <w:sz w:val="18"/>
                <w:szCs w:val="18"/>
              </w:rPr>
            </w:pPr>
          </w:p>
        </w:tc>
        <w:tc>
          <w:tcPr>
            <w:tcW w:w="1107" w:type="pct"/>
            <w:shd w:val="clear" w:color="auto" w:fill="F2F2F2" w:themeFill="background1" w:themeFillShade="F2"/>
          </w:tcPr>
          <w:p w14:paraId="15ED5297" w14:textId="77777777" w:rsidR="00CE402E" w:rsidRPr="00CE402E" w:rsidRDefault="00CE402E" w:rsidP="00CE402E">
            <w:pPr>
              <w:rPr>
                <w:sz w:val="18"/>
                <w:szCs w:val="18"/>
              </w:rPr>
            </w:pPr>
            <w:r w:rsidRPr="00CE402E">
              <w:rPr>
                <w:sz w:val="18"/>
                <w:szCs w:val="18"/>
              </w:rPr>
              <w:t>1</w:t>
            </w:r>
            <w:r w:rsidRPr="00CE402E">
              <w:rPr>
                <w:sz w:val="18"/>
                <w:szCs w:val="18"/>
                <w:vertAlign w:val="superscript"/>
              </w:rPr>
              <w:t>st</w:t>
            </w:r>
            <w:r w:rsidRPr="00CE402E">
              <w:rPr>
                <w:sz w:val="18"/>
                <w:szCs w:val="18"/>
              </w:rPr>
              <w:t xml:space="preserve"> Baseline (BL)</w:t>
            </w:r>
          </w:p>
        </w:tc>
        <w:tc>
          <w:tcPr>
            <w:tcW w:w="1108" w:type="pct"/>
            <w:shd w:val="clear" w:color="auto" w:fill="F2F2F2" w:themeFill="background1" w:themeFillShade="F2"/>
          </w:tcPr>
          <w:p w14:paraId="4C8622C1" w14:textId="77777777" w:rsidR="00CE402E" w:rsidRPr="00CE402E" w:rsidRDefault="00CE402E" w:rsidP="00CE402E">
            <w:pPr>
              <w:rPr>
                <w:sz w:val="18"/>
                <w:szCs w:val="18"/>
              </w:rPr>
            </w:pPr>
            <w:r w:rsidRPr="00CE402E">
              <w:rPr>
                <w:sz w:val="18"/>
                <w:szCs w:val="18"/>
              </w:rPr>
              <w:t>2</w:t>
            </w:r>
            <w:r w:rsidRPr="00CE402E">
              <w:rPr>
                <w:sz w:val="18"/>
                <w:szCs w:val="18"/>
                <w:vertAlign w:val="superscript"/>
              </w:rPr>
              <w:t>nd</w:t>
            </w:r>
            <w:r w:rsidRPr="00CE402E">
              <w:rPr>
                <w:sz w:val="18"/>
                <w:szCs w:val="18"/>
              </w:rPr>
              <w:t xml:space="preserve"> BL</w:t>
            </w:r>
          </w:p>
        </w:tc>
        <w:tc>
          <w:tcPr>
            <w:tcW w:w="481" w:type="pct"/>
            <w:shd w:val="clear" w:color="auto" w:fill="F2F2F2" w:themeFill="background1" w:themeFillShade="F2"/>
          </w:tcPr>
          <w:p w14:paraId="50F0186C" w14:textId="77777777" w:rsidR="00CE402E" w:rsidRPr="00CE402E" w:rsidRDefault="00CE402E" w:rsidP="00CE402E">
            <w:pPr>
              <w:rPr>
                <w:sz w:val="18"/>
                <w:szCs w:val="18"/>
              </w:rPr>
            </w:pPr>
            <w:r w:rsidRPr="00CE402E">
              <w:rPr>
                <w:sz w:val="18"/>
                <w:szCs w:val="18"/>
              </w:rPr>
              <w:t>1</w:t>
            </w:r>
            <w:r w:rsidRPr="00CE402E">
              <w:rPr>
                <w:sz w:val="18"/>
                <w:szCs w:val="18"/>
                <w:vertAlign w:val="superscript"/>
              </w:rPr>
              <w:t>st</w:t>
            </w:r>
            <w:r w:rsidRPr="00CE402E">
              <w:rPr>
                <w:sz w:val="18"/>
                <w:szCs w:val="18"/>
              </w:rPr>
              <w:t xml:space="preserve"> BL</w:t>
            </w:r>
          </w:p>
        </w:tc>
        <w:tc>
          <w:tcPr>
            <w:tcW w:w="526" w:type="pct"/>
            <w:shd w:val="clear" w:color="auto" w:fill="F2F2F2" w:themeFill="background1" w:themeFillShade="F2"/>
          </w:tcPr>
          <w:p w14:paraId="25E5C259" w14:textId="77777777" w:rsidR="00CE402E" w:rsidRPr="00CE402E" w:rsidRDefault="00CE402E" w:rsidP="00CE402E">
            <w:pPr>
              <w:rPr>
                <w:sz w:val="18"/>
                <w:szCs w:val="18"/>
              </w:rPr>
            </w:pPr>
            <w:r w:rsidRPr="00CE402E">
              <w:rPr>
                <w:sz w:val="18"/>
                <w:szCs w:val="18"/>
              </w:rPr>
              <w:t>2</w:t>
            </w:r>
            <w:r w:rsidRPr="00CE402E">
              <w:rPr>
                <w:sz w:val="18"/>
                <w:szCs w:val="18"/>
                <w:vertAlign w:val="superscript"/>
              </w:rPr>
              <w:t>nd</w:t>
            </w:r>
            <w:r w:rsidRPr="00CE402E">
              <w:rPr>
                <w:sz w:val="18"/>
                <w:szCs w:val="18"/>
              </w:rPr>
              <w:t xml:space="preserve"> BL</w:t>
            </w:r>
          </w:p>
        </w:tc>
      </w:tr>
      <w:tr w:rsidR="00CE402E" w:rsidRPr="00CE402E" w14:paraId="7D765B98" w14:textId="77777777" w:rsidTr="00CE402E">
        <w:trPr>
          <w:trHeight w:val="20"/>
        </w:trPr>
        <w:tc>
          <w:tcPr>
            <w:tcW w:w="1778" w:type="pct"/>
          </w:tcPr>
          <w:p w14:paraId="759E33EE" w14:textId="77777777" w:rsidR="00CE402E" w:rsidRPr="00CE402E" w:rsidRDefault="00CE402E" w:rsidP="00CE402E">
            <w:pPr>
              <w:rPr>
                <w:sz w:val="18"/>
                <w:szCs w:val="18"/>
              </w:rPr>
            </w:pPr>
            <w:r w:rsidRPr="00CE402E">
              <w:rPr>
                <w:sz w:val="18"/>
                <w:szCs w:val="18"/>
              </w:rPr>
              <w:t>Replace on Burnout (ROB)</w:t>
            </w:r>
          </w:p>
        </w:tc>
        <w:tc>
          <w:tcPr>
            <w:tcW w:w="1107" w:type="pct"/>
          </w:tcPr>
          <w:p w14:paraId="513B2C91" w14:textId="77777777" w:rsidR="00CE402E" w:rsidRPr="00CE402E" w:rsidRDefault="00CE402E" w:rsidP="00CE402E">
            <w:pPr>
              <w:rPr>
                <w:sz w:val="18"/>
                <w:szCs w:val="18"/>
              </w:rPr>
            </w:pPr>
            <w:r w:rsidRPr="00CE402E">
              <w:rPr>
                <w:sz w:val="18"/>
                <w:szCs w:val="18"/>
              </w:rPr>
              <w:t>Above Code or Standard</w:t>
            </w:r>
          </w:p>
        </w:tc>
        <w:tc>
          <w:tcPr>
            <w:tcW w:w="1108" w:type="pct"/>
          </w:tcPr>
          <w:p w14:paraId="6629A14C" w14:textId="77777777" w:rsidR="00CE402E" w:rsidRPr="00CE402E" w:rsidRDefault="00CE402E" w:rsidP="00CE402E">
            <w:pPr>
              <w:rPr>
                <w:sz w:val="18"/>
                <w:szCs w:val="18"/>
              </w:rPr>
            </w:pPr>
            <w:r w:rsidRPr="00CE402E">
              <w:rPr>
                <w:sz w:val="18"/>
                <w:szCs w:val="18"/>
              </w:rPr>
              <w:t>N/A</w:t>
            </w:r>
          </w:p>
        </w:tc>
        <w:tc>
          <w:tcPr>
            <w:tcW w:w="481" w:type="pct"/>
          </w:tcPr>
          <w:p w14:paraId="661DCCA7" w14:textId="77777777" w:rsidR="00CE402E" w:rsidRPr="00CE402E" w:rsidRDefault="00CE402E" w:rsidP="00CE402E">
            <w:pPr>
              <w:rPr>
                <w:sz w:val="18"/>
                <w:szCs w:val="18"/>
              </w:rPr>
            </w:pPr>
            <w:r w:rsidRPr="00CE402E">
              <w:rPr>
                <w:sz w:val="18"/>
                <w:szCs w:val="18"/>
              </w:rPr>
              <w:t>EUL</w:t>
            </w:r>
          </w:p>
        </w:tc>
        <w:tc>
          <w:tcPr>
            <w:tcW w:w="526" w:type="pct"/>
          </w:tcPr>
          <w:p w14:paraId="20412006" w14:textId="77777777" w:rsidR="00CE402E" w:rsidRPr="00CE402E" w:rsidRDefault="00CE402E" w:rsidP="00CE402E">
            <w:pPr>
              <w:rPr>
                <w:sz w:val="18"/>
                <w:szCs w:val="18"/>
              </w:rPr>
            </w:pPr>
            <w:r w:rsidRPr="00CE402E">
              <w:rPr>
                <w:sz w:val="18"/>
                <w:szCs w:val="18"/>
              </w:rPr>
              <w:t>N/A</w:t>
            </w:r>
          </w:p>
        </w:tc>
      </w:tr>
    </w:tbl>
    <w:p w14:paraId="40A4D91E" w14:textId="77777777" w:rsidR="00CE402E" w:rsidRPr="00CE402E" w:rsidRDefault="00CE402E" w:rsidP="00CE402E">
      <w:pPr>
        <w:tabs>
          <w:tab w:val="num" w:pos="360"/>
        </w:tabs>
        <w:spacing w:before="40" w:after="40"/>
        <w:rPr>
          <w:rFonts w:cstheme="minorHAnsi"/>
          <w:color w:val="FF0000"/>
          <w:szCs w:val="22"/>
        </w:rPr>
      </w:pPr>
    </w:p>
    <w:p w14:paraId="0F2A3A54" w14:textId="77777777" w:rsidR="00CE402E" w:rsidRPr="00CE402E" w:rsidRDefault="00CE402E" w:rsidP="00CE402E">
      <w:pPr>
        <w:rPr>
          <w:rFonts w:eastAsiaTheme="minorHAnsi" w:cstheme="minorBidi"/>
          <w:szCs w:val="22"/>
        </w:rPr>
      </w:pPr>
      <w:r w:rsidRPr="00CE402E">
        <w:rPr>
          <w:rFonts w:eastAsiaTheme="minorHAnsi" w:cstheme="minorBidi"/>
          <w:szCs w:val="22"/>
        </w:rPr>
        <w:t>A delivery mechanism is a delivery method paired with an incentive method. Delivery mechanisms are used by programs to obtain program participation and energy savings.</w:t>
      </w:r>
    </w:p>
    <w:p w14:paraId="620C679A" w14:textId="77777777" w:rsidR="00CE402E" w:rsidRPr="00CE402E" w:rsidRDefault="00CE402E" w:rsidP="00CE402E">
      <w:pPr>
        <w:rPr>
          <w:rFonts w:eastAsiaTheme="minorHAnsi" w:cstheme="minorBidi"/>
          <w:szCs w:val="22"/>
        </w:rPr>
      </w:pPr>
    </w:p>
    <w:p w14:paraId="10EF7CE7" w14:textId="77777777" w:rsidR="00CE402E" w:rsidRPr="00CE402E" w:rsidRDefault="00CE402E" w:rsidP="00CE402E">
      <w:pPr>
        <w:rPr>
          <w:rFonts w:eastAsiaTheme="minorHAnsi" w:cstheme="minorBidi"/>
          <w:szCs w:val="22"/>
        </w:rPr>
      </w:pPr>
      <w:r w:rsidRPr="00CE402E">
        <w:rPr>
          <w:rFonts w:eastAsiaTheme="minorHAnsi" w:cstheme="minorBidi"/>
          <w:b/>
          <w:szCs w:val="22"/>
        </w:rPr>
        <w:t>Delivery Method Descriptions</w:t>
      </w:r>
    </w:p>
    <w:tbl>
      <w:tblPr>
        <w:tblStyle w:val="TableGrid12"/>
        <w:tblW w:w="5000" w:type="pct"/>
        <w:tblLayout w:type="fixed"/>
        <w:tblLook w:val="04A0" w:firstRow="1" w:lastRow="0" w:firstColumn="1" w:lastColumn="0" w:noHBand="0" w:noVBand="1"/>
      </w:tblPr>
      <w:tblGrid>
        <w:gridCol w:w="2425"/>
        <w:gridCol w:w="6925"/>
      </w:tblGrid>
      <w:tr w:rsidR="00CE402E" w:rsidRPr="00CE402E" w14:paraId="77910142" w14:textId="77777777" w:rsidTr="00CE402E">
        <w:tc>
          <w:tcPr>
            <w:tcW w:w="1297" w:type="pct"/>
            <w:shd w:val="clear" w:color="auto" w:fill="D9D9D9" w:themeFill="background1" w:themeFillShade="D9"/>
          </w:tcPr>
          <w:p w14:paraId="4E976A5B" w14:textId="77777777" w:rsidR="00CE402E" w:rsidRPr="00CE402E" w:rsidRDefault="00CE402E" w:rsidP="00CE402E">
            <w:pPr>
              <w:rPr>
                <w:b/>
                <w:sz w:val="18"/>
                <w:szCs w:val="18"/>
              </w:rPr>
            </w:pPr>
            <w:r w:rsidRPr="00CE402E">
              <w:rPr>
                <w:b/>
                <w:sz w:val="18"/>
                <w:szCs w:val="18"/>
              </w:rPr>
              <w:t>Delivery Method</w:t>
            </w:r>
          </w:p>
        </w:tc>
        <w:tc>
          <w:tcPr>
            <w:tcW w:w="3703" w:type="pct"/>
            <w:shd w:val="clear" w:color="auto" w:fill="D9D9D9" w:themeFill="background1" w:themeFillShade="D9"/>
          </w:tcPr>
          <w:p w14:paraId="21D806FE" w14:textId="77777777" w:rsidR="00CE402E" w:rsidRPr="00CE402E" w:rsidRDefault="00CE402E" w:rsidP="00CE402E">
            <w:pPr>
              <w:rPr>
                <w:b/>
                <w:sz w:val="18"/>
                <w:szCs w:val="18"/>
              </w:rPr>
            </w:pPr>
            <w:r w:rsidRPr="00CE402E">
              <w:rPr>
                <w:b/>
                <w:sz w:val="18"/>
                <w:szCs w:val="18"/>
              </w:rPr>
              <w:t>Description</w:t>
            </w:r>
          </w:p>
        </w:tc>
      </w:tr>
      <w:tr w:rsidR="00CE402E" w:rsidRPr="00CE402E" w14:paraId="54D7AE31" w14:textId="77777777" w:rsidTr="00CE402E">
        <w:tc>
          <w:tcPr>
            <w:tcW w:w="1297" w:type="pct"/>
          </w:tcPr>
          <w:p w14:paraId="10EA29A8" w14:textId="77777777" w:rsidR="00CE402E" w:rsidRPr="00CE402E" w:rsidRDefault="00CE402E" w:rsidP="00CE402E">
            <w:pPr>
              <w:rPr>
                <w:sz w:val="18"/>
                <w:szCs w:val="18"/>
              </w:rPr>
            </w:pPr>
            <w:r w:rsidRPr="00CE402E">
              <w:rPr>
                <w:rFonts w:eastAsiaTheme="minorHAnsi" w:cs="BookAntiqua"/>
                <w:sz w:val="18"/>
                <w:szCs w:val="18"/>
              </w:rPr>
              <w:t>Financial Support</w:t>
            </w:r>
          </w:p>
        </w:tc>
        <w:tc>
          <w:tcPr>
            <w:tcW w:w="3703" w:type="pct"/>
          </w:tcPr>
          <w:p w14:paraId="024CBC12" w14:textId="77777777" w:rsidR="00CE402E" w:rsidRPr="00CE402E" w:rsidRDefault="00CE402E" w:rsidP="00CE402E">
            <w:pPr>
              <w:rPr>
                <w:sz w:val="18"/>
                <w:szCs w:val="18"/>
              </w:rPr>
            </w:pPr>
            <w:r w:rsidRPr="00CE402E">
              <w:rPr>
                <w:rFonts w:eastAsiaTheme="minorHAnsi" w:cs="BookAntiqua"/>
                <w:sz w:val="18"/>
                <w:szCs w:val="18"/>
              </w:rPr>
              <w:t>The program motivates customers, through financial incentives such as rebates or low interest loans, to implement energy efficient measures or projects.</w:t>
            </w:r>
          </w:p>
        </w:tc>
      </w:tr>
      <w:tr w:rsidR="008A433B" w:rsidRPr="00CE402E" w14:paraId="5B76287D" w14:textId="77777777" w:rsidTr="00CE402E">
        <w:tc>
          <w:tcPr>
            <w:tcW w:w="1297" w:type="pct"/>
          </w:tcPr>
          <w:p w14:paraId="25C800BB" w14:textId="47911F85" w:rsidR="008A433B" w:rsidRPr="00CE402E" w:rsidRDefault="008A433B" w:rsidP="008A433B">
            <w:pPr>
              <w:rPr>
                <w:rFonts w:eastAsiaTheme="minorHAnsi" w:cs="BookAntiqua"/>
                <w:sz w:val="18"/>
                <w:szCs w:val="18"/>
              </w:rPr>
            </w:pPr>
            <w:r>
              <w:rPr>
                <w:rFonts w:eastAsiaTheme="minorHAnsi" w:cstheme="minorBidi"/>
                <w:sz w:val="18"/>
                <w:szCs w:val="18"/>
              </w:rPr>
              <w:t>Mid-Stream Programs</w:t>
            </w:r>
          </w:p>
        </w:tc>
        <w:tc>
          <w:tcPr>
            <w:tcW w:w="3703" w:type="pct"/>
          </w:tcPr>
          <w:p w14:paraId="04D0DB35" w14:textId="257318F2" w:rsidR="008A433B" w:rsidRPr="00CE402E" w:rsidRDefault="008A433B" w:rsidP="008A433B">
            <w:pPr>
              <w:rPr>
                <w:rFonts w:eastAsiaTheme="minorHAnsi" w:cs="BookAntiqua"/>
                <w:sz w:val="18"/>
                <w:szCs w:val="18"/>
              </w:rPr>
            </w:pPr>
            <w:r w:rsidRPr="003D2981">
              <w:rPr>
                <w:rFonts w:cs="Helv"/>
                <w:i/>
                <w:sz w:val="18"/>
                <w:szCs w:val="18"/>
              </w:rPr>
              <w:t xml:space="preserve">See Mid-Stream Incentive in the </w:t>
            </w:r>
            <w:r w:rsidRPr="003D2981">
              <w:rPr>
                <w:i/>
                <w:sz w:val="18"/>
                <w:szCs w:val="18"/>
              </w:rPr>
              <w:t>Incentive Method Descriptions table.</w:t>
            </w:r>
          </w:p>
        </w:tc>
      </w:tr>
      <w:tr w:rsidR="008A433B" w:rsidRPr="00CE402E" w14:paraId="0FF5F93D" w14:textId="77777777" w:rsidTr="00CE402E">
        <w:tc>
          <w:tcPr>
            <w:tcW w:w="1297" w:type="pct"/>
          </w:tcPr>
          <w:p w14:paraId="705057D6" w14:textId="4B90B768" w:rsidR="008A433B" w:rsidRPr="00CE402E" w:rsidRDefault="008A433B" w:rsidP="008A433B">
            <w:pPr>
              <w:rPr>
                <w:rFonts w:eastAsiaTheme="minorHAnsi" w:cs="BookAntiqua"/>
                <w:sz w:val="18"/>
                <w:szCs w:val="18"/>
              </w:rPr>
            </w:pPr>
            <w:r w:rsidRPr="00920905">
              <w:rPr>
                <w:sz w:val="18"/>
                <w:szCs w:val="18"/>
              </w:rPr>
              <w:t>Up-Stream Programs</w:t>
            </w:r>
          </w:p>
        </w:tc>
        <w:tc>
          <w:tcPr>
            <w:tcW w:w="3703" w:type="pct"/>
          </w:tcPr>
          <w:p w14:paraId="55469604" w14:textId="09D8F32A" w:rsidR="008A433B" w:rsidRPr="00CE402E" w:rsidRDefault="008A433B" w:rsidP="008A433B">
            <w:pPr>
              <w:rPr>
                <w:rFonts w:eastAsiaTheme="minorHAnsi" w:cs="BookAntiqua"/>
                <w:sz w:val="18"/>
                <w:szCs w:val="18"/>
              </w:rPr>
            </w:pPr>
            <w:r w:rsidRPr="003D2981">
              <w:rPr>
                <w:i/>
                <w:sz w:val="18"/>
                <w:szCs w:val="18"/>
              </w:rPr>
              <w:t>See Up-Stream Incentive in the Incentive Method Descriptions table.</w:t>
            </w:r>
          </w:p>
        </w:tc>
      </w:tr>
    </w:tbl>
    <w:p w14:paraId="71427BB8" w14:textId="77777777" w:rsidR="00CE402E" w:rsidRPr="00CE402E" w:rsidRDefault="00CE402E" w:rsidP="00CE402E"/>
    <w:p w14:paraId="1E914499" w14:textId="77777777" w:rsidR="00CE402E" w:rsidRPr="00CE402E" w:rsidRDefault="00CE402E" w:rsidP="00CE402E">
      <w:pPr>
        <w:rPr>
          <w:rFonts w:eastAsiaTheme="minorHAnsi" w:cstheme="minorBidi"/>
          <w:szCs w:val="22"/>
        </w:rPr>
      </w:pPr>
      <w:r w:rsidRPr="00CE402E">
        <w:rPr>
          <w:rFonts w:eastAsiaTheme="minorHAnsi" w:cstheme="minorBidi"/>
          <w:b/>
          <w:szCs w:val="22"/>
        </w:rPr>
        <w:t>Incentive Method Descriptions</w:t>
      </w:r>
    </w:p>
    <w:tbl>
      <w:tblPr>
        <w:tblStyle w:val="TableGrid12"/>
        <w:tblW w:w="5000" w:type="pct"/>
        <w:tblLook w:val="04A0" w:firstRow="1" w:lastRow="0" w:firstColumn="1" w:lastColumn="0" w:noHBand="0" w:noVBand="1"/>
      </w:tblPr>
      <w:tblGrid>
        <w:gridCol w:w="2425"/>
        <w:gridCol w:w="6925"/>
      </w:tblGrid>
      <w:tr w:rsidR="00CE402E" w:rsidRPr="00CE402E" w14:paraId="48E9F69E" w14:textId="77777777" w:rsidTr="00CE402E">
        <w:tc>
          <w:tcPr>
            <w:tcW w:w="1297" w:type="pct"/>
            <w:shd w:val="clear" w:color="auto" w:fill="D9D9D9" w:themeFill="background1" w:themeFillShade="D9"/>
          </w:tcPr>
          <w:p w14:paraId="460153B6" w14:textId="77777777" w:rsidR="00CE402E" w:rsidRPr="00CE402E" w:rsidRDefault="00CE402E" w:rsidP="00CE402E">
            <w:pPr>
              <w:rPr>
                <w:b/>
                <w:sz w:val="18"/>
                <w:szCs w:val="18"/>
              </w:rPr>
            </w:pPr>
            <w:r w:rsidRPr="00CE402E">
              <w:rPr>
                <w:b/>
                <w:sz w:val="18"/>
                <w:szCs w:val="18"/>
              </w:rPr>
              <w:t>Incentive Method</w:t>
            </w:r>
          </w:p>
        </w:tc>
        <w:tc>
          <w:tcPr>
            <w:tcW w:w="3703" w:type="pct"/>
            <w:shd w:val="clear" w:color="auto" w:fill="D9D9D9" w:themeFill="background1" w:themeFillShade="D9"/>
          </w:tcPr>
          <w:p w14:paraId="3BF53473" w14:textId="77777777" w:rsidR="00CE402E" w:rsidRPr="00CE402E" w:rsidRDefault="00CE402E" w:rsidP="00CE402E">
            <w:pPr>
              <w:rPr>
                <w:b/>
                <w:sz w:val="18"/>
                <w:szCs w:val="18"/>
              </w:rPr>
            </w:pPr>
            <w:r w:rsidRPr="00CE402E">
              <w:rPr>
                <w:b/>
                <w:sz w:val="18"/>
                <w:szCs w:val="18"/>
              </w:rPr>
              <w:t>Description</w:t>
            </w:r>
          </w:p>
        </w:tc>
      </w:tr>
      <w:tr w:rsidR="008A433B" w:rsidRPr="00CE402E" w14:paraId="0641A01E" w14:textId="77777777" w:rsidTr="00CE402E">
        <w:tc>
          <w:tcPr>
            <w:tcW w:w="1297" w:type="pct"/>
          </w:tcPr>
          <w:p w14:paraId="1C7B421B" w14:textId="012B975C" w:rsidR="008A433B" w:rsidRPr="00CE402E" w:rsidRDefault="008A433B" w:rsidP="008A433B">
            <w:pPr>
              <w:autoSpaceDE w:val="0"/>
              <w:autoSpaceDN w:val="0"/>
              <w:adjustRightInd w:val="0"/>
              <w:spacing w:line="240" w:lineRule="atLeast"/>
              <w:rPr>
                <w:rFonts w:cs="Helv"/>
                <w:sz w:val="18"/>
                <w:szCs w:val="18"/>
              </w:rPr>
            </w:pPr>
            <w:r>
              <w:rPr>
                <w:rFonts w:cs="Helv"/>
                <w:sz w:val="18"/>
                <w:szCs w:val="18"/>
              </w:rPr>
              <w:t>Up-Stream Incentive</w:t>
            </w:r>
          </w:p>
        </w:tc>
        <w:tc>
          <w:tcPr>
            <w:tcW w:w="3703" w:type="pct"/>
          </w:tcPr>
          <w:p w14:paraId="3FA3B41D" w14:textId="005A4B04"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The program gives a financial incentive to an upstream market actor</w:t>
            </w:r>
            <w:r>
              <w:rPr>
                <w:rFonts w:cs="Helv"/>
                <w:sz w:val="18"/>
                <w:szCs w:val="18"/>
              </w:rPr>
              <w:t xml:space="preserve"> (manufacturer or distributor)</w:t>
            </w:r>
            <w:r w:rsidRPr="00920905">
              <w:rPr>
                <w:rFonts w:cs="Helv"/>
                <w:sz w:val="18"/>
                <w:szCs w:val="18"/>
              </w:rPr>
              <w:t xml:space="preserve"> to encourage the manufacture, provision, or distribution of efficient measure</w:t>
            </w:r>
            <w:r>
              <w:rPr>
                <w:rFonts w:cs="Helv"/>
                <w:sz w:val="18"/>
                <w:szCs w:val="18"/>
              </w:rPr>
              <w:t>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8A433B" w:rsidRPr="00CE402E" w14:paraId="2F100394" w14:textId="77777777" w:rsidTr="00CE402E">
        <w:tc>
          <w:tcPr>
            <w:tcW w:w="1297" w:type="pct"/>
          </w:tcPr>
          <w:p w14:paraId="52A6F93E" w14:textId="77777777" w:rsidR="008A433B" w:rsidRPr="00CE402E" w:rsidRDefault="008A433B" w:rsidP="008A433B">
            <w:pPr>
              <w:autoSpaceDE w:val="0"/>
              <w:autoSpaceDN w:val="0"/>
              <w:adjustRightInd w:val="0"/>
              <w:spacing w:line="240" w:lineRule="atLeast"/>
              <w:rPr>
                <w:sz w:val="18"/>
                <w:szCs w:val="18"/>
              </w:rPr>
            </w:pPr>
            <w:r w:rsidRPr="00CE402E">
              <w:rPr>
                <w:rFonts w:cs="Helv"/>
                <w:sz w:val="18"/>
                <w:szCs w:val="18"/>
              </w:rPr>
              <w:t>Down-Stream Incentive</w:t>
            </w:r>
          </w:p>
        </w:tc>
        <w:tc>
          <w:tcPr>
            <w:tcW w:w="3703" w:type="pct"/>
          </w:tcPr>
          <w:p w14:paraId="6AB4A44D" w14:textId="77777777" w:rsidR="008A433B" w:rsidRPr="00CE402E" w:rsidRDefault="008A433B" w:rsidP="008A433B">
            <w:pPr>
              <w:autoSpaceDE w:val="0"/>
              <w:autoSpaceDN w:val="0"/>
              <w:adjustRightInd w:val="0"/>
              <w:spacing w:line="240" w:lineRule="atLeast"/>
              <w:rPr>
                <w:sz w:val="18"/>
                <w:szCs w:val="18"/>
              </w:rPr>
            </w:pPr>
            <w:r w:rsidRPr="00CE402E">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8A433B" w:rsidRPr="00CE402E" w14:paraId="270D2045" w14:textId="77777777" w:rsidTr="00CE402E">
        <w:tc>
          <w:tcPr>
            <w:tcW w:w="1297" w:type="pct"/>
          </w:tcPr>
          <w:p w14:paraId="0ECC2F9A" w14:textId="77777777" w:rsidR="008A433B" w:rsidRDefault="008A433B" w:rsidP="008A433B">
            <w:pPr>
              <w:autoSpaceDE w:val="0"/>
              <w:autoSpaceDN w:val="0"/>
              <w:adjustRightInd w:val="0"/>
              <w:spacing w:line="240" w:lineRule="atLeast"/>
              <w:rPr>
                <w:rFonts w:cs="Helv"/>
                <w:sz w:val="18"/>
                <w:szCs w:val="18"/>
              </w:rPr>
            </w:pPr>
            <w:r w:rsidRPr="00920905">
              <w:rPr>
                <w:rFonts w:cs="Helv"/>
                <w:sz w:val="18"/>
                <w:szCs w:val="18"/>
              </w:rPr>
              <w:lastRenderedPageBreak/>
              <w:t>Mid-Stream Incentive</w:t>
            </w:r>
          </w:p>
          <w:p w14:paraId="5C7D1DE7" w14:textId="4A4ADD58"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 xml:space="preserve">Mid-Stream </w:t>
            </w:r>
            <w:r>
              <w:rPr>
                <w:rFonts w:cs="Helv"/>
                <w:sz w:val="18"/>
                <w:szCs w:val="18"/>
              </w:rPr>
              <w:t>Buy Down</w:t>
            </w:r>
          </w:p>
        </w:tc>
        <w:tc>
          <w:tcPr>
            <w:tcW w:w="3703" w:type="pct"/>
          </w:tcPr>
          <w:p w14:paraId="46F10301" w14:textId="351A4DDD"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8A433B" w:rsidRPr="00CE402E" w14:paraId="53323FD3" w14:textId="77777777" w:rsidTr="00CE402E">
        <w:tc>
          <w:tcPr>
            <w:tcW w:w="1297" w:type="pct"/>
          </w:tcPr>
          <w:p w14:paraId="727D3826" w14:textId="4D29E968"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48DFF7CD" w14:textId="5BEC179E"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r w:rsidR="008A433B" w:rsidRPr="00CE402E" w14:paraId="482D485F" w14:textId="77777777" w:rsidTr="00CE402E">
        <w:tc>
          <w:tcPr>
            <w:tcW w:w="1297" w:type="pct"/>
          </w:tcPr>
          <w:p w14:paraId="0B52E444" w14:textId="77777777" w:rsidR="008A433B" w:rsidRPr="00920905" w:rsidRDefault="008A433B" w:rsidP="008A433B">
            <w:pPr>
              <w:autoSpaceDE w:val="0"/>
              <w:autoSpaceDN w:val="0"/>
              <w:adjustRightInd w:val="0"/>
              <w:spacing w:line="240" w:lineRule="atLeast"/>
              <w:rPr>
                <w:rFonts w:cs="Helv"/>
                <w:sz w:val="18"/>
                <w:szCs w:val="18"/>
              </w:rPr>
            </w:pPr>
            <w:r w:rsidRPr="00920905">
              <w:rPr>
                <w:rFonts w:cs="Helv"/>
                <w:sz w:val="18"/>
                <w:szCs w:val="18"/>
              </w:rPr>
              <w:t>Up-Stream Incentive</w:t>
            </w:r>
          </w:p>
          <w:p w14:paraId="69D6D9AA" w14:textId="060BAC58"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Up-Stream Buy Down</w:t>
            </w:r>
          </w:p>
        </w:tc>
        <w:tc>
          <w:tcPr>
            <w:tcW w:w="3703" w:type="pct"/>
          </w:tcPr>
          <w:p w14:paraId="72692E97" w14:textId="08DF62D2" w:rsidR="008A433B" w:rsidRPr="00CE402E" w:rsidRDefault="008A433B" w:rsidP="008A433B">
            <w:pPr>
              <w:autoSpaceDE w:val="0"/>
              <w:autoSpaceDN w:val="0"/>
              <w:adjustRightInd w:val="0"/>
              <w:spacing w:line="240" w:lineRule="atLeast"/>
              <w:rPr>
                <w:rFonts w:cs="Helv"/>
                <w:sz w:val="18"/>
                <w:szCs w:val="18"/>
              </w:rPr>
            </w:pPr>
            <w:r w:rsidRPr="00920905">
              <w:rPr>
                <w:rFonts w:cs="Helv"/>
                <w:sz w:val="18"/>
                <w:szCs w:val="18"/>
              </w:rPr>
              <w:t>The program gives a financial incentive to an upstream market actor</w:t>
            </w:r>
            <w:r>
              <w:rPr>
                <w:rFonts w:cs="Helv"/>
                <w:sz w:val="18"/>
                <w:szCs w:val="18"/>
              </w:rPr>
              <w:t xml:space="preserve"> (manufacturer or distributor)</w:t>
            </w:r>
            <w:r w:rsidRPr="00920905">
              <w:rPr>
                <w:rFonts w:cs="Helv"/>
                <w:sz w:val="18"/>
                <w:szCs w:val="18"/>
              </w:rPr>
              <w:t xml:space="preserve"> to encourage the manufacture, provision, or distribution of efficient measure</w:t>
            </w:r>
            <w:r>
              <w:rPr>
                <w:rFonts w:cs="Helv"/>
                <w:sz w:val="18"/>
                <w:szCs w:val="18"/>
              </w:rPr>
              <w:t>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bl>
    <w:p w14:paraId="146603EF" w14:textId="77777777" w:rsidR="00E16609" w:rsidRPr="00397406" w:rsidRDefault="00824F1C" w:rsidP="00824F1C">
      <w:pPr>
        <w:pStyle w:val="Heading2"/>
        <w:rPr>
          <w:rFonts w:asciiTheme="minorHAnsi" w:hAnsiTheme="minorHAnsi" w:cstheme="minorHAnsi"/>
        </w:rPr>
      </w:pPr>
      <w:proofErr w:type="gramStart"/>
      <w:r w:rsidRPr="00397406">
        <w:rPr>
          <w:rFonts w:asciiTheme="minorHAnsi" w:hAnsiTheme="minorHAnsi" w:cstheme="minorHAnsi"/>
        </w:rPr>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w:t>
      </w:r>
      <w:proofErr w:type="gramEnd"/>
      <w:r w:rsidR="00697868" w:rsidRPr="00397406">
        <w:rPr>
          <w:rFonts w:asciiTheme="minorHAnsi" w:hAnsiTheme="minorHAnsi" w:cstheme="minorHAnsi"/>
        </w:rPr>
        <w:t xml:space="preserve"> </w:t>
      </w:r>
      <w:bookmarkEnd w:id="9"/>
      <w:r w:rsidR="00CA5DC4">
        <w:rPr>
          <w:rFonts w:asciiTheme="minorHAnsi" w:hAnsiTheme="minorHAnsi" w:cstheme="minorHAnsi"/>
        </w:rPr>
        <w:t>Parameters</w:t>
      </w:r>
    </w:p>
    <w:p w14:paraId="28B1A006" w14:textId="77777777" w:rsidR="00F06CCF" w:rsidRPr="00397406" w:rsidRDefault="00F06CCF" w:rsidP="00F06CCF">
      <w:pPr>
        <w:pStyle w:val="Heading3"/>
        <w:rPr>
          <w:rFonts w:asciiTheme="minorHAnsi" w:hAnsiTheme="minorHAnsi"/>
        </w:rPr>
      </w:pPr>
      <w:r w:rsidRPr="00397406">
        <w:rPr>
          <w:rFonts w:asciiTheme="minorHAnsi" w:hAnsiTheme="minorHAnsi"/>
        </w:rPr>
        <w:t xml:space="preserve">1.4.1 DEER </w:t>
      </w:r>
      <w:r w:rsidR="00CA5DC4">
        <w:rPr>
          <w:rFonts w:asciiTheme="minorHAnsi" w:hAnsiTheme="minorHAnsi"/>
        </w:rPr>
        <w:t>Data</w:t>
      </w:r>
    </w:p>
    <w:p w14:paraId="4154C27F" w14:textId="77777777" w:rsidR="001A08D7" w:rsidRPr="001A08D7" w:rsidRDefault="001A08D7" w:rsidP="001A08D7">
      <w:bookmarkStart w:id="10" w:name="_Toc214003087"/>
      <w:r w:rsidRPr="001A08D7">
        <w:t xml:space="preserve">This work paper uses data from DEER </w:t>
      </w:r>
      <w:r w:rsidR="00E82CBE" w:rsidRPr="001A08D7">
        <w:t>201</w:t>
      </w:r>
      <w:r w:rsidR="00E82CBE">
        <w:t>7</w:t>
      </w:r>
      <w:r w:rsidR="00D035F7">
        <w:t>,</w:t>
      </w:r>
      <w:r w:rsidRPr="001A08D7">
        <w:t xml:space="preserve"> which lists data for </w:t>
      </w:r>
      <w:r w:rsidR="009837BA">
        <w:t>Heat Pump Water Heaters (</w:t>
      </w:r>
      <w:r w:rsidRPr="001A08D7">
        <w:t>HPWH</w:t>
      </w:r>
      <w:r w:rsidR="00E82CBE">
        <w:t>s</w:t>
      </w:r>
      <w:r w:rsidR="009837BA">
        <w:t>)</w:t>
      </w:r>
      <w:r w:rsidRPr="001A08D7">
        <w:t xml:space="preserve"> replacing a base case </w:t>
      </w:r>
      <w:r w:rsidR="009837BA">
        <w:t>Electric Storage Water Heaters (</w:t>
      </w:r>
      <w:r w:rsidRPr="001A08D7">
        <w:t>ESWH</w:t>
      </w:r>
      <w:r w:rsidR="00E82CBE">
        <w:t>s</w:t>
      </w:r>
      <w:r w:rsidR="009837BA">
        <w:t>)</w:t>
      </w:r>
      <w:r w:rsidR="00E82CBE">
        <w:t>.</w:t>
      </w:r>
    </w:p>
    <w:p w14:paraId="6BB66471" w14:textId="77777777" w:rsidR="006B3FA7" w:rsidRPr="006B3FA7" w:rsidRDefault="006B3FA7" w:rsidP="006B3FA7">
      <w:pPr>
        <w:keepNext/>
        <w:jc w:val="center"/>
        <w:rPr>
          <w:rFonts w:cstheme="minorHAnsi"/>
          <w:b/>
          <w:bCs/>
          <w:szCs w:val="3276"/>
        </w:rPr>
      </w:pPr>
    </w:p>
    <w:p w14:paraId="4F3828E1" w14:textId="77777777" w:rsidR="00B81EF8" w:rsidRPr="00B81EF8" w:rsidRDefault="00B81EF8" w:rsidP="00B81EF8">
      <w:pPr>
        <w:keepNext/>
        <w:rPr>
          <w:rFonts w:cs="Arial"/>
          <w:b/>
          <w:bCs/>
          <w:szCs w:val="22"/>
        </w:rPr>
      </w:pPr>
      <w:r w:rsidRPr="00B81EF8">
        <w:rPr>
          <w:rFonts w:cs="Arial"/>
          <w:b/>
          <w:bCs/>
          <w:szCs w:val="22"/>
        </w:rPr>
        <w:t>DEER Difference Summary</w:t>
      </w:r>
    </w:p>
    <w:tbl>
      <w:tblPr>
        <w:tblStyle w:val="TableGrid15"/>
        <w:tblW w:w="5000" w:type="pct"/>
        <w:tblCellMar>
          <w:left w:w="115" w:type="dxa"/>
          <w:right w:w="115" w:type="dxa"/>
        </w:tblCellMar>
        <w:tblLook w:val="04A0" w:firstRow="1" w:lastRow="0" w:firstColumn="1" w:lastColumn="0" w:noHBand="0" w:noVBand="1"/>
      </w:tblPr>
      <w:tblGrid>
        <w:gridCol w:w="2895"/>
        <w:gridCol w:w="6455"/>
      </w:tblGrid>
      <w:tr w:rsidR="00B81EF8" w:rsidRPr="00B81EF8" w14:paraId="36BC7663" w14:textId="77777777" w:rsidTr="00266FB8">
        <w:trPr>
          <w:trHeight w:val="20"/>
        </w:trPr>
        <w:tc>
          <w:tcPr>
            <w:tcW w:w="1548" w:type="pct"/>
            <w:shd w:val="clear" w:color="auto" w:fill="D9D9D9" w:themeFill="background1" w:themeFillShade="D9"/>
          </w:tcPr>
          <w:p w14:paraId="388513E2" w14:textId="77777777" w:rsidR="00B81EF8" w:rsidRPr="00B81EF8" w:rsidRDefault="00B81EF8" w:rsidP="00B81EF8">
            <w:pPr>
              <w:tabs>
                <w:tab w:val="right" w:pos="2957"/>
              </w:tabs>
              <w:rPr>
                <w:rFonts w:cs="Arial"/>
                <w:b/>
                <w:szCs w:val="20"/>
              </w:rPr>
            </w:pPr>
            <w:r w:rsidRPr="00B81EF8">
              <w:rPr>
                <w:rFonts w:cs="Arial"/>
                <w:b/>
                <w:szCs w:val="20"/>
              </w:rPr>
              <w:t>DEER Item</w:t>
            </w:r>
          </w:p>
        </w:tc>
        <w:tc>
          <w:tcPr>
            <w:tcW w:w="3452" w:type="pct"/>
            <w:shd w:val="clear" w:color="auto" w:fill="D9D9D9" w:themeFill="background1" w:themeFillShade="D9"/>
          </w:tcPr>
          <w:p w14:paraId="64589E44" w14:textId="77777777" w:rsidR="00B81EF8" w:rsidRPr="00B81EF8" w:rsidRDefault="00B81EF8" w:rsidP="00B81EF8">
            <w:pPr>
              <w:rPr>
                <w:rFonts w:cs="Arial"/>
                <w:b/>
                <w:szCs w:val="20"/>
              </w:rPr>
            </w:pPr>
            <w:r w:rsidRPr="00B81EF8">
              <w:rPr>
                <w:rFonts w:cs="Arial"/>
                <w:b/>
                <w:szCs w:val="20"/>
              </w:rPr>
              <w:t xml:space="preserve">Used for </w:t>
            </w:r>
            <w:proofErr w:type="spellStart"/>
            <w:r w:rsidRPr="00B81EF8">
              <w:rPr>
                <w:rFonts w:cs="Arial"/>
                <w:b/>
                <w:szCs w:val="20"/>
              </w:rPr>
              <w:t>Workpaper</w:t>
            </w:r>
            <w:proofErr w:type="spellEnd"/>
            <w:r w:rsidRPr="00B81EF8">
              <w:rPr>
                <w:rFonts w:cs="Arial"/>
                <w:b/>
                <w:szCs w:val="20"/>
              </w:rPr>
              <w:t>?</w:t>
            </w:r>
          </w:p>
        </w:tc>
      </w:tr>
      <w:tr w:rsidR="00B81EF8" w:rsidRPr="00B81EF8" w14:paraId="67997634" w14:textId="77777777" w:rsidTr="00266FB8">
        <w:trPr>
          <w:trHeight w:val="20"/>
        </w:trPr>
        <w:tc>
          <w:tcPr>
            <w:tcW w:w="1548" w:type="pct"/>
          </w:tcPr>
          <w:p w14:paraId="77168C14" w14:textId="77777777" w:rsidR="00B81EF8" w:rsidRPr="00B81EF8" w:rsidRDefault="00B81EF8" w:rsidP="00B81EF8">
            <w:pPr>
              <w:rPr>
                <w:rFonts w:cs="Arial"/>
                <w:szCs w:val="20"/>
              </w:rPr>
            </w:pPr>
            <w:r w:rsidRPr="00B81EF8">
              <w:rPr>
                <w:rFonts w:cs="Arial"/>
                <w:szCs w:val="20"/>
              </w:rPr>
              <w:t>Modified DEER methodology</w:t>
            </w:r>
          </w:p>
        </w:tc>
        <w:tc>
          <w:tcPr>
            <w:tcW w:w="3452" w:type="pct"/>
          </w:tcPr>
          <w:p w14:paraId="3708CC7C" w14:textId="4ED8C974" w:rsidR="00B81EF8" w:rsidRPr="00B81EF8" w:rsidRDefault="00FD04E4">
            <w:pPr>
              <w:rPr>
                <w:rFonts w:cs="Arial"/>
                <w:b/>
                <w:szCs w:val="20"/>
              </w:rPr>
            </w:pPr>
            <w:r>
              <w:rPr>
                <w:rFonts w:cs="Arial"/>
                <w:szCs w:val="20"/>
              </w:rPr>
              <w:t>Yes</w:t>
            </w:r>
          </w:p>
        </w:tc>
      </w:tr>
      <w:tr w:rsidR="00B81EF8" w:rsidRPr="00B81EF8" w14:paraId="5F80D212" w14:textId="77777777" w:rsidTr="00266FB8">
        <w:trPr>
          <w:trHeight w:val="20"/>
        </w:trPr>
        <w:tc>
          <w:tcPr>
            <w:tcW w:w="1548" w:type="pct"/>
          </w:tcPr>
          <w:p w14:paraId="05589BD6" w14:textId="77777777" w:rsidR="00B81EF8" w:rsidRPr="00B81EF8" w:rsidRDefault="00B81EF8" w:rsidP="00B81EF8">
            <w:pPr>
              <w:rPr>
                <w:rFonts w:cs="Arial"/>
                <w:szCs w:val="20"/>
              </w:rPr>
            </w:pPr>
            <w:r w:rsidRPr="00B81EF8">
              <w:rPr>
                <w:rFonts w:cs="Arial"/>
                <w:szCs w:val="20"/>
              </w:rPr>
              <w:t>Scaled DEER measure</w:t>
            </w:r>
          </w:p>
        </w:tc>
        <w:tc>
          <w:tcPr>
            <w:tcW w:w="3452" w:type="pct"/>
          </w:tcPr>
          <w:p w14:paraId="335F0648" w14:textId="77777777" w:rsidR="00B81EF8" w:rsidRPr="00B81EF8" w:rsidRDefault="00B81EF8" w:rsidP="00B81EF8">
            <w:pPr>
              <w:rPr>
                <w:rFonts w:cs="Arial"/>
                <w:szCs w:val="20"/>
              </w:rPr>
            </w:pPr>
            <w:r w:rsidRPr="00B81EF8">
              <w:rPr>
                <w:rFonts w:cs="Arial"/>
                <w:szCs w:val="20"/>
              </w:rPr>
              <w:t>No</w:t>
            </w:r>
          </w:p>
        </w:tc>
      </w:tr>
      <w:tr w:rsidR="00B81EF8" w:rsidRPr="00B81EF8" w14:paraId="6439DDEE" w14:textId="77777777" w:rsidTr="00266FB8">
        <w:trPr>
          <w:trHeight w:val="20"/>
        </w:trPr>
        <w:tc>
          <w:tcPr>
            <w:tcW w:w="1548" w:type="pct"/>
          </w:tcPr>
          <w:p w14:paraId="6C07D52D" w14:textId="77777777" w:rsidR="00B81EF8" w:rsidRPr="00B81EF8" w:rsidRDefault="00B81EF8" w:rsidP="00B81EF8">
            <w:pPr>
              <w:rPr>
                <w:rFonts w:cs="Arial"/>
                <w:szCs w:val="20"/>
              </w:rPr>
            </w:pPr>
            <w:r w:rsidRPr="00B81EF8">
              <w:rPr>
                <w:rFonts w:cs="Arial"/>
                <w:szCs w:val="20"/>
              </w:rPr>
              <w:t>DEER Base Case</w:t>
            </w:r>
          </w:p>
        </w:tc>
        <w:tc>
          <w:tcPr>
            <w:tcW w:w="3452" w:type="pct"/>
          </w:tcPr>
          <w:p w14:paraId="038A1AFC" w14:textId="77777777" w:rsidR="00B81EF8" w:rsidRPr="00B81EF8" w:rsidRDefault="00B81EF8" w:rsidP="00B81EF8">
            <w:pPr>
              <w:rPr>
                <w:rFonts w:cs="Arial"/>
                <w:szCs w:val="20"/>
              </w:rPr>
            </w:pPr>
            <w:r>
              <w:rPr>
                <w:rFonts w:cs="Arial"/>
                <w:szCs w:val="20"/>
              </w:rPr>
              <w:t>Yes</w:t>
            </w:r>
            <w:r w:rsidR="00FD04E4">
              <w:rPr>
                <w:rFonts w:cs="Arial"/>
                <w:szCs w:val="20"/>
              </w:rPr>
              <w:t xml:space="preserve"> – (Converted EF to UEF)</w:t>
            </w:r>
          </w:p>
        </w:tc>
      </w:tr>
      <w:tr w:rsidR="00B81EF8" w:rsidRPr="00B81EF8" w14:paraId="792F1AB4" w14:textId="77777777" w:rsidTr="00266FB8">
        <w:trPr>
          <w:trHeight w:val="20"/>
        </w:trPr>
        <w:tc>
          <w:tcPr>
            <w:tcW w:w="1548" w:type="pct"/>
          </w:tcPr>
          <w:p w14:paraId="1B03EFFF" w14:textId="77777777" w:rsidR="00B81EF8" w:rsidRPr="00B81EF8" w:rsidRDefault="00B81EF8" w:rsidP="00B81EF8">
            <w:pPr>
              <w:rPr>
                <w:rFonts w:cs="Arial"/>
                <w:szCs w:val="20"/>
              </w:rPr>
            </w:pPr>
            <w:r w:rsidRPr="00B81EF8">
              <w:rPr>
                <w:rFonts w:cs="Arial"/>
                <w:szCs w:val="20"/>
              </w:rPr>
              <w:t>DEER Measure Case</w:t>
            </w:r>
          </w:p>
        </w:tc>
        <w:tc>
          <w:tcPr>
            <w:tcW w:w="3452" w:type="pct"/>
          </w:tcPr>
          <w:p w14:paraId="011AB8C5" w14:textId="77777777" w:rsidR="00B81EF8" w:rsidRPr="00B81EF8" w:rsidRDefault="00B81EF8" w:rsidP="00B81EF8">
            <w:pPr>
              <w:rPr>
                <w:rFonts w:cs="Arial"/>
                <w:szCs w:val="20"/>
              </w:rPr>
            </w:pPr>
            <w:r>
              <w:rPr>
                <w:rFonts w:cs="Arial"/>
                <w:szCs w:val="20"/>
              </w:rPr>
              <w:t>Yes</w:t>
            </w:r>
            <w:r w:rsidR="00FD04E4">
              <w:rPr>
                <w:rFonts w:cs="Arial"/>
                <w:szCs w:val="20"/>
              </w:rPr>
              <w:t xml:space="preserve"> – (Converted EF to UEF)</w:t>
            </w:r>
          </w:p>
        </w:tc>
      </w:tr>
      <w:tr w:rsidR="00B81EF8" w:rsidRPr="00B81EF8" w14:paraId="34AC1EED" w14:textId="77777777" w:rsidTr="00266FB8">
        <w:trPr>
          <w:trHeight w:val="20"/>
        </w:trPr>
        <w:tc>
          <w:tcPr>
            <w:tcW w:w="1548" w:type="pct"/>
          </w:tcPr>
          <w:p w14:paraId="1F2073FD" w14:textId="77777777" w:rsidR="00B81EF8" w:rsidRPr="00B81EF8" w:rsidRDefault="00B81EF8" w:rsidP="00B81EF8">
            <w:pPr>
              <w:rPr>
                <w:rFonts w:cs="Arial"/>
                <w:szCs w:val="20"/>
              </w:rPr>
            </w:pPr>
            <w:r w:rsidRPr="00B81EF8">
              <w:rPr>
                <w:rFonts w:cs="Arial"/>
                <w:szCs w:val="20"/>
              </w:rPr>
              <w:t>DEER Building Types</w:t>
            </w:r>
          </w:p>
        </w:tc>
        <w:tc>
          <w:tcPr>
            <w:tcW w:w="3452" w:type="pct"/>
          </w:tcPr>
          <w:p w14:paraId="3B0E7505" w14:textId="77777777" w:rsidR="00B81EF8" w:rsidRPr="00B81EF8" w:rsidRDefault="00AE28B2" w:rsidP="00B81EF8">
            <w:pPr>
              <w:rPr>
                <w:rFonts w:cs="Arial"/>
                <w:szCs w:val="20"/>
              </w:rPr>
            </w:pPr>
            <w:r>
              <w:rPr>
                <w:rFonts w:cs="Arial"/>
                <w:szCs w:val="20"/>
              </w:rPr>
              <w:t>Yes</w:t>
            </w:r>
          </w:p>
        </w:tc>
      </w:tr>
      <w:tr w:rsidR="00B81EF8" w:rsidRPr="00B81EF8" w14:paraId="66D2DC70" w14:textId="77777777" w:rsidTr="00266FB8">
        <w:trPr>
          <w:trHeight w:val="20"/>
        </w:trPr>
        <w:tc>
          <w:tcPr>
            <w:tcW w:w="1548" w:type="pct"/>
          </w:tcPr>
          <w:p w14:paraId="4A2B4955" w14:textId="77777777" w:rsidR="00B81EF8" w:rsidRPr="00B81EF8" w:rsidRDefault="00B81EF8" w:rsidP="00B81EF8">
            <w:pPr>
              <w:rPr>
                <w:rFonts w:cs="Arial"/>
                <w:szCs w:val="20"/>
              </w:rPr>
            </w:pPr>
            <w:r w:rsidRPr="00B81EF8">
              <w:rPr>
                <w:rFonts w:cs="Arial"/>
                <w:szCs w:val="20"/>
              </w:rPr>
              <w:t>DEER Operating Hours</w:t>
            </w:r>
          </w:p>
        </w:tc>
        <w:tc>
          <w:tcPr>
            <w:tcW w:w="3452" w:type="pct"/>
          </w:tcPr>
          <w:p w14:paraId="79A9168B" w14:textId="77777777" w:rsidR="00B81EF8" w:rsidRPr="00B81EF8" w:rsidRDefault="00B81EF8" w:rsidP="00B81EF8">
            <w:pPr>
              <w:rPr>
                <w:rFonts w:cs="Arial"/>
                <w:szCs w:val="20"/>
              </w:rPr>
            </w:pPr>
            <w:r>
              <w:rPr>
                <w:rFonts w:cs="Arial"/>
                <w:szCs w:val="20"/>
              </w:rPr>
              <w:t>No</w:t>
            </w:r>
          </w:p>
        </w:tc>
      </w:tr>
      <w:tr w:rsidR="00B81EF8" w:rsidRPr="00B81EF8" w14:paraId="35775559" w14:textId="77777777" w:rsidTr="00266FB8">
        <w:trPr>
          <w:trHeight w:val="20"/>
        </w:trPr>
        <w:tc>
          <w:tcPr>
            <w:tcW w:w="1548" w:type="pct"/>
          </w:tcPr>
          <w:p w14:paraId="425F9DF6" w14:textId="77777777" w:rsidR="00B81EF8" w:rsidRPr="00B81EF8" w:rsidRDefault="00B81EF8" w:rsidP="00B81EF8">
            <w:pPr>
              <w:rPr>
                <w:rFonts w:cs="Arial"/>
                <w:szCs w:val="20"/>
              </w:rPr>
            </w:pPr>
            <w:r w:rsidRPr="00B81EF8">
              <w:rPr>
                <w:rFonts w:cs="Arial"/>
                <w:szCs w:val="20"/>
              </w:rPr>
              <w:t xml:space="preserve">DEER </w:t>
            </w:r>
            <w:proofErr w:type="spellStart"/>
            <w:r w:rsidRPr="00B81EF8">
              <w:rPr>
                <w:rFonts w:cs="Arial"/>
                <w:szCs w:val="20"/>
              </w:rPr>
              <w:t>eQUEST</w:t>
            </w:r>
            <w:proofErr w:type="spellEnd"/>
            <w:r w:rsidRPr="00B81EF8">
              <w:rPr>
                <w:rFonts w:cs="Arial"/>
                <w:szCs w:val="20"/>
              </w:rPr>
              <w:t xml:space="preserve"> Prototypes</w:t>
            </w:r>
          </w:p>
        </w:tc>
        <w:tc>
          <w:tcPr>
            <w:tcW w:w="3452" w:type="pct"/>
          </w:tcPr>
          <w:p w14:paraId="693BC812" w14:textId="77777777" w:rsidR="00B81EF8" w:rsidRPr="00B81EF8" w:rsidDel="00505CEC" w:rsidRDefault="00B81EF8" w:rsidP="00B81EF8">
            <w:pPr>
              <w:rPr>
                <w:rFonts w:cs="Arial"/>
                <w:szCs w:val="20"/>
              </w:rPr>
            </w:pPr>
            <w:r w:rsidRPr="00B81EF8">
              <w:rPr>
                <w:rFonts w:cs="Arial"/>
                <w:szCs w:val="20"/>
              </w:rPr>
              <w:t>No</w:t>
            </w:r>
          </w:p>
        </w:tc>
      </w:tr>
      <w:tr w:rsidR="00B81EF8" w:rsidRPr="00B81EF8" w14:paraId="6589E2B6" w14:textId="77777777" w:rsidTr="00266FB8">
        <w:trPr>
          <w:trHeight w:val="20"/>
        </w:trPr>
        <w:tc>
          <w:tcPr>
            <w:tcW w:w="1548" w:type="pct"/>
          </w:tcPr>
          <w:p w14:paraId="3E120602" w14:textId="77777777" w:rsidR="00B81EF8" w:rsidRPr="00B81EF8" w:rsidRDefault="00B81EF8" w:rsidP="00B81EF8">
            <w:pPr>
              <w:rPr>
                <w:rFonts w:cs="Arial"/>
                <w:szCs w:val="20"/>
              </w:rPr>
            </w:pPr>
            <w:r w:rsidRPr="00B81EF8">
              <w:rPr>
                <w:rFonts w:cs="Arial"/>
                <w:szCs w:val="20"/>
              </w:rPr>
              <w:t>DEER Version</w:t>
            </w:r>
          </w:p>
        </w:tc>
        <w:tc>
          <w:tcPr>
            <w:tcW w:w="3452" w:type="pct"/>
          </w:tcPr>
          <w:p w14:paraId="547D49ED" w14:textId="77777777" w:rsidR="00B81EF8" w:rsidRPr="00B81EF8" w:rsidRDefault="00B81EF8">
            <w:pPr>
              <w:rPr>
                <w:rFonts w:cs="Arial"/>
                <w:szCs w:val="20"/>
              </w:rPr>
            </w:pPr>
            <w:r w:rsidRPr="00E47B18">
              <w:rPr>
                <w:rFonts w:cstheme="minorHAnsi"/>
                <w:szCs w:val="20"/>
              </w:rPr>
              <w:t xml:space="preserve">DEER </w:t>
            </w:r>
            <w:r w:rsidR="00E82CBE" w:rsidRPr="00E47B18">
              <w:rPr>
                <w:rFonts w:cstheme="minorHAnsi"/>
                <w:szCs w:val="20"/>
              </w:rPr>
              <w:t>201</w:t>
            </w:r>
            <w:r w:rsidR="00E82CBE">
              <w:rPr>
                <w:rFonts w:cstheme="minorHAnsi"/>
                <w:szCs w:val="20"/>
              </w:rPr>
              <w:t>7</w:t>
            </w:r>
            <w:r w:rsidRPr="00E47B18">
              <w:rPr>
                <w:rFonts w:cstheme="minorHAnsi"/>
                <w:szCs w:val="20"/>
              </w:rPr>
              <w:t>, READI v2.</w:t>
            </w:r>
            <w:r w:rsidR="006715E8">
              <w:rPr>
                <w:rFonts w:cstheme="minorHAnsi"/>
                <w:szCs w:val="20"/>
              </w:rPr>
              <w:t>5.1</w:t>
            </w:r>
          </w:p>
        </w:tc>
      </w:tr>
      <w:tr w:rsidR="00B81EF8" w:rsidRPr="00B81EF8" w14:paraId="4D1539D4" w14:textId="77777777" w:rsidTr="00266FB8">
        <w:trPr>
          <w:trHeight w:val="20"/>
        </w:trPr>
        <w:tc>
          <w:tcPr>
            <w:tcW w:w="1548" w:type="pct"/>
          </w:tcPr>
          <w:p w14:paraId="75CB433F" w14:textId="77777777" w:rsidR="00B81EF8" w:rsidRPr="00B81EF8" w:rsidRDefault="00B81EF8" w:rsidP="00B81EF8">
            <w:pPr>
              <w:rPr>
                <w:rFonts w:cs="Arial"/>
                <w:szCs w:val="20"/>
              </w:rPr>
            </w:pPr>
            <w:r w:rsidRPr="00B81EF8">
              <w:rPr>
                <w:rFonts w:cs="Arial"/>
                <w:szCs w:val="20"/>
              </w:rPr>
              <w:t>Reason for Deviation from DEER</w:t>
            </w:r>
          </w:p>
        </w:tc>
        <w:tc>
          <w:tcPr>
            <w:tcW w:w="3452" w:type="pct"/>
          </w:tcPr>
          <w:p w14:paraId="11DFADA4" w14:textId="15BA0132" w:rsidR="00B81EF8" w:rsidRPr="00B81EF8" w:rsidRDefault="00FD04E4" w:rsidP="00B81EF8">
            <w:pPr>
              <w:rPr>
                <w:rFonts w:cs="Arial"/>
                <w:szCs w:val="20"/>
              </w:rPr>
            </w:pPr>
            <w:r>
              <w:rPr>
                <w:rFonts w:cs="Arial"/>
                <w:szCs w:val="20"/>
              </w:rPr>
              <w:t>Federal Code switched from EF to UEF</w:t>
            </w:r>
            <w:r w:rsidR="000F5E43">
              <w:rPr>
                <w:rFonts w:cs="Arial"/>
                <w:szCs w:val="20"/>
              </w:rPr>
              <w:t xml:space="preserve"> </w:t>
            </w:r>
          </w:p>
        </w:tc>
      </w:tr>
      <w:tr w:rsidR="00B81EF8" w:rsidRPr="00B81EF8" w14:paraId="5AB791A0" w14:textId="77777777" w:rsidTr="00266FB8">
        <w:trPr>
          <w:trHeight w:val="20"/>
        </w:trPr>
        <w:tc>
          <w:tcPr>
            <w:tcW w:w="1548" w:type="pct"/>
          </w:tcPr>
          <w:p w14:paraId="42585E45" w14:textId="77777777" w:rsidR="00B81EF8" w:rsidRPr="00B81EF8" w:rsidRDefault="00B81EF8" w:rsidP="00B81EF8">
            <w:pPr>
              <w:rPr>
                <w:rFonts w:cs="Arial"/>
                <w:szCs w:val="20"/>
              </w:rPr>
            </w:pPr>
            <w:r w:rsidRPr="00B81EF8">
              <w:rPr>
                <w:rFonts w:cs="Arial"/>
                <w:szCs w:val="20"/>
              </w:rPr>
              <w:t>DEER Measure IDs Used</w:t>
            </w:r>
          </w:p>
        </w:tc>
        <w:tc>
          <w:tcPr>
            <w:tcW w:w="3452" w:type="pct"/>
          </w:tcPr>
          <w:p w14:paraId="53255841" w14:textId="10C2A42D" w:rsidR="00B81EF8" w:rsidRPr="00B81EF8" w:rsidRDefault="00FD04E4" w:rsidP="00B81EF8">
            <w:pPr>
              <w:rPr>
                <w:rFonts w:cs="Arial"/>
                <w:szCs w:val="20"/>
              </w:rPr>
            </w:pPr>
            <w:r>
              <w:rPr>
                <w:rFonts w:cs="Arial"/>
                <w:szCs w:val="20"/>
              </w:rPr>
              <w:t>Various – Refer to section 2.</w:t>
            </w:r>
          </w:p>
        </w:tc>
      </w:tr>
    </w:tbl>
    <w:p w14:paraId="4F5A8310" w14:textId="77777777" w:rsidR="006B3FA7" w:rsidRPr="00B81EF8" w:rsidRDefault="006B3FA7" w:rsidP="006B3FA7">
      <w:pPr>
        <w:spacing w:before="40" w:after="40"/>
        <w:rPr>
          <w:rFonts w:cstheme="minorHAnsi"/>
          <w:color w:val="FF0000"/>
          <w:szCs w:val="22"/>
        </w:rPr>
      </w:pPr>
    </w:p>
    <w:p w14:paraId="5E62D1C8" w14:textId="77777777" w:rsidR="00472250" w:rsidRPr="00397406"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14:paraId="1016BEC0" w14:textId="77777777" w:rsidR="000968C6" w:rsidRPr="00397406" w:rsidRDefault="000968C6" w:rsidP="000968C6">
      <w:pPr>
        <w:rPr>
          <w:rFonts w:cstheme="minorHAnsi"/>
          <w:szCs w:val="22"/>
        </w:rPr>
      </w:pPr>
      <w:r w:rsidRPr="00397406">
        <w:rPr>
          <w:rFonts w:cstheme="minorHAnsi"/>
          <w:szCs w:val="22"/>
        </w:rPr>
        <w:t>The NTG</w:t>
      </w:r>
      <w:r w:rsidR="00064CB3" w:rsidRPr="00397406">
        <w:rPr>
          <w:rFonts w:cstheme="minorHAnsi"/>
          <w:szCs w:val="22"/>
        </w:rPr>
        <w:t xml:space="preserve"> </w:t>
      </w:r>
      <w:r w:rsidRPr="00397406">
        <w:rPr>
          <w:rFonts w:cstheme="minorHAnsi"/>
          <w:szCs w:val="22"/>
        </w:rPr>
        <w:t>value</w:t>
      </w:r>
      <w:r w:rsidR="00BC6524" w:rsidRPr="00397406">
        <w:rPr>
          <w:rFonts w:cstheme="minorHAnsi"/>
          <w:szCs w:val="22"/>
        </w:rPr>
        <w:t>s were obtained using</w:t>
      </w:r>
      <w:r w:rsidRPr="00397406">
        <w:rPr>
          <w:rFonts w:cstheme="minorHAnsi"/>
          <w:szCs w:val="22"/>
        </w:rPr>
        <w:t xml:space="preserve"> </w:t>
      </w:r>
      <w:r w:rsidR="00F12733" w:rsidRPr="00397406">
        <w:rPr>
          <w:rFonts w:cstheme="minorHAnsi"/>
          <w:szCs w:val="22"/>
        </w:rPr>
        <w:t xml:space="preserve">the </w:t>
      </w:r>
      <w:r w:rsidR="00BC6524" w:rsidRPr="00397406">
        <w:rPr>
          <w:rFonts w:cstheme="minorHAnsi"/>
          <w:szCs w:val="22"/>
        </w:rPr>
        <w:t>DEER READI tool</w:t>
      </w:r>
      <w:r w:rsidRPr="00397406">
        <w:rPr>
          <w:rFonts w:cstheme="minorHAnsi"/>
          <w:szCs w:val="22"/>
        </w:rPr>
        <w:t>. The r</w:t>
      </w:r>
      <w:r w:rsidR="00061A8E" w:rsidRPr="00397406">
        <w:rPr>
          <w:rFonts w:cstheme="minorHAnsi"/>
          <w:szCs w:val="22"/>
        </w:rPr>
        <w:t>elevant NTG values for the</w:t>
      </w:r>
      <w:r w:rsidRPr="00397406">
        <w:rPr>
          <w:rFonts w:cstheme="minorHAnsi"/>
          <w:szCs w:val="22"/>
        </w:rPr>
        <w:t xml:space="preserve"> measure</w:t>
      </w:r>
      <w:r w:rsidR="00061A8E" w:rsidRPr="00397406">
        <w:rPr>
          <w:rFonts w:cstheme="minorHAnsi"/>
          <w:szCs w:val="22"/>
        </w:rPr>
        <w:t>s in this work paper</w:t>
      </w:r>
      <w:r w:rsidRPr="00397406">
        <w:rPr>
          <w:rFonts w:cstheme="minorHAnsi"/>
          <w:szCs w:val="22"/>
        </w:rPr>
        <w:t xml:space="preserve"> </w:t>
      </w:r>
      <w:r w:rsidR="00061A8E" w:rsidRPr="00397406">
        <w:rPr>
          <w:rFonts w:cstheme="minorHAnsi"/>
          <w:szCs w:val="22"/>
        </w:rPr>
        <w:t>are</w:t>
      </w:r>
      <w:r w:rsidRPr="00397406">
        <w:rPr>
          <w:rFonts w:cstheme="minorHAnsi"/>
          <w:szCs w:val="22"/>
        </w:rPr>
        <w:t xml:space="preserve"> </w:t>
      </w:r>
      <w:r w:rsidR="008B1357" w:rsidRPr="00397406">
        <w:rPr>
          <w:rFonts w:cstheme="minorHAnsi"/>
          <w:szCs w:val="22"/>
        </w:rPr>
        <w:t>in</w:t>
      </w:r>
      <w:r w:rsidR="00061A8E" w:rsidRPr="00397406">
        <w:rPr>
          <w:rFonts w:cstheme="minorHAnsi"/>
          <w:szCs w:val="22"/>
        </w:rPr>
        <w:t xml:space="preserve"> the table below</w:t>
      </w:r>
      <w:r w:rsidRPr="00397406">
        <w:rPr>
          <w:rFonts w:cstheme="minorHAnsi"/>
          <w:szCs w:val="22"/>
        </w:rPr>
        <w:t>.</w:t>
      </w:r>
    </w:p>
    <w:p w14:paraId="53A07E1A" w14:textId="77777777" w:rsidR="000968C6" w:rsidRPr="00397406" w:rsidRDefault="000968C6" w:rsidP="000968C6">
      <w:pPr>
        <w:rPr>
          <w:rFonts w:cstheme="minorHAnsi"/>
          <w:szCs w:val="22"/>
        </w:rPr>
      </w:pPr>
    </w:p>
    <w:tbl>
      <w:tblPr>
        <w:tblStyle w:val="TableGrid11"/>
        <w:tblW w:w="4869" w:type="pct"/>
        <w:tblLayout w:type="fixed"/>
        <w:tblLook w:val="01E0" w:firstRow="1" w:lastRow="1" w:firstColumn="1" w:lastColumn="1" w:noHBand="0" w:noVBand="0"/>
      </w:tblPr>
      <w:tblGrid>
        <w:gridCol w:w="1479"/>
        <w:gridCol w:w="3376"/>
        <w:gridCol w:w="810"/>
        <w:gridCol w:w="991"/>
        <w:gridCol w:w="1717"/>
        <w:gridCol w:w="732"/>
      </w:tblGrid>
      <w:tr w:rsidR="00B81EF8" w:rsidRPr="00397406" w14:paraId="3E726151" w14:textId="77777777" w:rsidTr="007772A6">
        <w:tc>
          <w:tcPr>
            <w:tcW w:w="812" w:type="pct"/>
            <w:shd w:val="clear" w:color="auto" w:fill="D9D9D9" w:themeFill="background1" w:themeFillShade="D9"/>
          </w:tcPr>
          <w:p w14:paraId="4F1287AE" w14:textId="77777777" w:rsidR="00B81EF8" w:rsidRPr="00B81EF8" w:rsidRDefault="00B81EF8" w:rsidP="007772A6">
            <w:pPr>
              <w:rPr>
                <w:rFonts w:cstheme="minorHAnsi"/>
                <w:b/>
                <w:szCs w:val="20"/>
              </w:rPr>
            </w:pPr>
            <w:r w:rsidRPr="00B81EF8">
              <w:rPr>
                <w:b/>
              </w:rPr>
              <w:t>NTGR ID</w:t>
            </w:r>
          </w:p>
        </w:tc>
        <w:tc>
          <w:tcPr>
            <w:tcW w:w="1854" w:type="pct"/>
            <w:shd w:val="clear" w:color="auto" w:fill="D9D9D9" w:themeFill="background1" w:themeFillShade="D9"/>
          </w:tcPr>
          <w:p w14:paraId="14EC0F0E" w14:textId="77777777" w:rsidR="00B81EF8" w:rsidRPr="00B81EF8" w:rsidRDefault="00B81EF8" w:rsidP="007772A6">
            <w:pPr>
              <w:rPr>
                <w:rFonts w:cstheme="minorHAnsi"/>
                <w:b/>
                <w:szCs w:val="20"/>
              </w:rPr>
            </w:pPr>
            <w:r w:rsidRPr="00B81EF8">
              <w:rPr>
                <w:b/>
              </w:rPr>
              <w:t>Description</w:t>
            </w:r>
          </w:p>
        </w:tc>
        <w:tc>
          <w:tcPr>
            <w:tcW w:w="445" w:type="pct"/>
            <w:shd w:val="clear" w:color="auto" w:fill="D9D9D9" w:themeFill="background1" w:themeFillShade="D9"/>
          </w:tcPr>
          <w:p w14:paraId="3F0A54B1" w14:textId="77777777" w:rsidR="00B81EF8" w:rsidRPr="00B81EF8" w:rsidRDefault="00B81EF8" w:rsidP="007772A6">
            <w:pPr>
              <w:rPr>
                <w:rFonts w:cstheme="minorHAnsi"/>
                <w:b/>
                <w:szCs w:val="20"/>
              </w:rPr>
            </w:pPr>
            <w:r w:rsidRPr="00B81EF8">
              <w:rPr>
                <w:b/>
              </w:rPr>
              <w:t>Sector</w:t>
            </w:r>
          </w:p>
        </w:tc>
        <w:tc>
          <w:tcPr>
            <w:tcW w:w="544" w:type="pct"/>
            <w:shd w:val="clear" w:color="auto" w:fill="D9D9D9" w:themeFill="background1" w:themeFillShade="D9"/>
          </w:tcPr>
          <w:p w14:paraId="0A5FE485" w14:textId="77777777" w:rsidR="00B81EF8" w:rsidRPr="00B81EF8" w:rsidRDefault="00B81EF8" w:rsidP="007772A6">
            <w:pPr>
              <w:rPr>
                <w:rFonts w:cstheme="minorHAnsi"/>
                <w:b/>
                <w:szCs w:val="20"/>
              </w:rPr>
            </w:pPr>
            <w:proofErr w:type="spellStart"/>
            <w:r w:rsidRPr="00B81EF8">
              <w:rPr>
                <w:b/>
              </w:rPr>
              <w:t>BldgType</w:t>
            </w:r>
            <w:proofErr w:type="spellEnd"/>
          </w:p>
        </w:tc>
        <w:tc>
          <w:tcPr>
            <w:tcW w:w="943" w:type="pct"/>
            <w:shd w:val="clear" w:color="auto" w:fill="D9D9D9" w:themeFill="background1" w:themeFillShade="D9"/>
          </w:tcPr>
          <w:p w14:paraId="1BCE6A1B" w14:textId="77777777" w:rsidR="00B81EF8" w:rsidRPr="00B81EF8" w:rsidRDefault="00B81EF8" w:rsidP="007772A6">
            <w:pPr>
              <w:rPr>
                <w:rFonts w:cstheme="minorHAnsi"/>
                <w:b/>
                <w:szCs w:val="20"/>
              </w:rPr>
            </w:pPr>
            <w:r w:rsidRPr="00B81EF8">
              <w:rPr>
                <w:b/>
              </w:rPr>
              <w:t>Measure Delivery</w:t>
            </w:r>
          </w:p>
        </w:tc>
        <w:tc>
          <w:tcPr>
            <w:tcW w:w="402" w:type="pct"/>
            <w:shd w:val="clear" w:color="auto" w:fill="D9D9D9" w:themeFill="background1" w:themeFillShade="D9"/>
          </w:tcPr>
          <w:p w14:paraId="58C95297" w14:textId="77777777" w:rsidR="00B81EF8" w:rsidRPr="00B81EF8" w:rsidRDefault="00B81EF8" w:rsidP="007772A6">
            <w:pPr>
              <w:rPr>
                <w:rFonts w:cstheme="minorHAnsi"/>
                <w:b/>
                <w:szCs w:val="20"/>
              </w:rPr>
            </w:pPr>
            <w:r w:rsidRPr="00B81EF8">
              <w:rPr>
                <w:b/>
              </w:rPr>
              <w:t>NTGR</w:t>
            </w:r>
          </w:p>
        </w:tc>
      </w:tr>
      <w:tr w:rsidR="00907697" w:rsidRPr="00397406" w14:paraId="5757C311" w14:textId="77777777" w:rsidTr="007772A6">
        <w:tc>
          <w:tcPr>
            <w:tcW w:w="812" w:type="pct"/>
          </w:tcPr>
          <w:p w14:paraId="450C40EF" w14:textId="77777777" w:rsidR="00907697" w:rsidRPr="006B3FA7" w:rsidRDefault="00E7073E" w:rsidP="007772A6">
            <w:pPr>
              <w:rPr>
                <w:szCs w:val="20"/>
              </w:rPr>
            </w:pPr>
            <w:r w:rsidRPr="00E7073E">
              <w:rPr>
                <w:szCs w:val="20"/>
              </w:rPr>
              <w:t>All-Default&lt;=2yrs</w:t>
            </w:r>
          </w:p>
        </w:tc>
        <w:tc>
          <w:tcPr>
            <w:tcW w:w="1854" w:type="pct"/>
          </w:tcPr>
          <w:p w14:paraId="0223E8DE" w14:textId="77777777" w:rsidR="00907697" w:rsidRPr="006B3FA7" w:rsidRDefault="00EC1E06" w:rsidP="007772A6">
            <w:pPr>
              <w:rPr>
                <w:szCs w:val="20"/>
              </w:rPr>
            </w:pPr>
            <w:r w:rsidRPr="00EC1E06">
              <w:rPr>
                <w:szCs w:val="20"/>
              </w:rPr>
              <w:t>All other EEM with no evaluated NTGR; new technology in program for 2 or fewer years</w:t>
            </w:r>
          </w:p>
        </w:tc>
        <w:tc>
          <w:tcPr>
            <w:tcW w:w="445" w:type="pct"/>
          </w:tcPr>
          <w:p w14:paraId="36A95089" w14:textId="77777777" w:rsidR="00907697" w:rsidRPr="006B3FA7" w:rsidRDefault="00EC1E06" w:rsidP="007772A6">
            <w:pPr>
              <w:rPr>
                <w:szCs w:val="20"/>
              </w:rPr>
            </w:pPr>
            <w:r>
              <w:rPr>
                <w:szCs w:val="20"/>
              </w:rPr>
              <w:t>Any</w:t>
            </w:r>
          </w:p>
        </w:tc>
        <w:tc>
          <w:tcPr>
            <w:tcW w:w="544" w:type="pct"/>
          </w:tcPr>
          <w:p w14:paraId="188360FB" w14:textId="77777777" w:rsidR="00907697" w:rsidRPr="006B3FA7" w:rsidRDefault="00907697" w:rsidP="007772A6">
            <w:pPr>
              <w:rPr>
                <w:szCs w:val="20"/>
              </w:rPr>
            </w:pPr>
            <w:r w:rsidRPr="006B3FA7">
              <w:rPr>
                <w:szCs w:val="20"/>
              </w:rPr>
              <w:t>Any</w:t>
            </w:r>
          </w:p>
        </w:tc>
        <w:tc>
          <w:tcPr>
            <w:tcW w:w="943" w:type="pct"/>
          </w:tcPr>
          <w:p w14:paraId="032C3310" w14:textId="77777777" w:rsidR="00907697" w:rsidRPr="006B3FA7" w:rsidRDefault="00907697" w:rsidP="007772A6">
            <w:pPr>
              <w:rPr>
                <w:szCs w:val="20"/>
              </w:rPr>
            </w:pPr>
            <w:r w:rsidRPr="006B3FA7">
              <w:rPr>
                <w:szCs w:val="20"/>
              </w:rPr>
              <w:t>Any</w:t>
            </w:r>
          </w:p>
        </w:tc>
        <w:tc>
          <w:tcPr>
            <w:tcW w:w="402" w:type="pct"/>
          </w:tcPr>
          <w:p w14:paraId="51AF90ED" w14:textId="77777777" w:rsidR="00907697" w:rsidRPr="006B3FA7" w:rsidRDefault="00907697">
            <w:pPr>
              <w:rPr>
                <w:szCs w:val="20"/>
              </w:rPr>
            </w:pPr>
            <w:r w:rsidRPr="006B3FA7">
              <w:rPr>
                <w:szCs w:val="20"/>
              </w:rPr>
              <w:t>0.</w:t>
            </w:r>
            <w:r w:rsidR="00E7073E">
              <w:rPr>
                <w:szCs w:val="20"/>
              </w:rPr>
              <w:t>7</w:t>
            </w:r>
          </w:p>
        </w:tc>
      </w:tr>
    </w:tbl>
    <w:p w14:paraId="5CE35464" w14:textId="77777777" w:rsidR="00B81EF8" w:rsidRDefault="00B81EF8" w:rsidP="00B81EF8">
      <w:pPr>
        <w:pStyle w:val="Reminders"/>
        <w:rPr>
          <w:rFonts w:asciiTheme="minorHAnsi" w:hAnsiTheme="minorHAnsi" w:cstheme="minorHAnsi"/>
          <w:b/>
          <w:i w:val="0"/>
          <w:color w:val="auto"/>
          <w:szCs w:val="22"/>
        </w:rPr>
      </w:pPr>
    </w:p>
    <w:p w14:paraId="18296BC7" w14:textId="77777777" w:rsidR="00B81EF8" w:rsidRPr="00397406" w:rsidRDefault="00B81EF8" w:rsidP="00B81EF8">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14:paraId="081876E8" w14:textId="77777777" w:rsidR="00B81EF8" w:rsidRPr="00397406" w:rsidRDefault="00B81EF8" w:rsidP="00B81EF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Spillage rates are not tracked in work papers; they are tracked in an external document which will be supplied to the Commission Staff.</w:t>
      </w:r>
    </w:p>
    <w:p w14:paraId="2D964BF1" w14:textId="77777777" w:rsidR="00F1053D" w:rsidRPr="00397406" w:rsidRDefault="00F1053D" w:rsidP="000968C6">
      <w:pPr>
        <w:pStyle w:val="Reminders"/>
        <w:rPr>
          <w:rFonts w:asciiTheme="minorHAnsi" w:hAnsiTheme="minorHAnsi" w:cstheme="minorHAnsi"/>
          <w:i w:val="0"/>
          <w:color w:val="auto"/>
          <w:szCs w:val="22"/>
        </w:rPr>
      </w:pPr>
    </w:p>
    <w:p w14:paraId="79EC3616" w14:textId="77777777"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14:paraId="75E3EC84" w14:textId="77777777"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w:t>
      </w:r>
      <w:r w:rsidR="00B81EF8">
        <w:rPr>
          <w:rFonts w:asciiTheme="minorHAnsi" w:hAnsiTheme="minorHAnsi" w:cstheme="minorHAnsi"/>
          <w:i w:val="0"/>
          <w:color w:val="auto"/>
          <w:szCs w:val="22"/>
        </w:rPr>
        <w:t xml:space="preserve">nstallation </w:t>
      </w:r>
      <w:r w:rsidR="00061A8E" w:rsidRPr="00397406">
        <w:rPr>
          <w:rFonts w:asciiTheme="minorHAnsi" w:hAnsiTheme="minorHAnsi" w:cstheme="minorHAnsi"/>
          <w:i w:val="0"/>
          <w:color w:val="auto"/>
          <w:szCs w:val="22"/>
        </w:rPr>
        <w:t>R</w:t>
      </w:r>
      <w:r w:rsidR="00B81EF8">
        <w:rPr>
          <w:rFonts w:asciiTheme="minorHAnsi" w:hAnsiTheme="minorHAnsi" w:cstheme="minorHAnsi"/>
          <w:i w:val="0"/>
          <w:color w:val="auto"/>
          <w:szCs w:val="22"/>
        </w:rPr>
        <w:t>ate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14:paraId="43F56DFA" w14:textId="77777777" w:rsidR="006B3FA7" w:rsidRPr="00397406" w:rsidRDefault="006B3FA7" w:rsidP="005476F6">
      <w:pPr>
        <w:pStyle w:val="Reminders"/>
        <w:rPr>
          <w:rFonts w:asciiTheme="minorHAnsi" w:hAnsiTheme="minorHAnsi" w:cstheme="minorHAnsi"/>
          <w:i w:val="0"/>
          <w:color w:val="auto"/>
          <w:szCs w:val="22"/>
        </w:rPr>
      </w:pPr>
      <w:bookmarkStart w:id="11" w:name="_GoBack"/>
      <w:bookmarkEnd w:id="11"/>
    </w:p>
    <w:tbl>
      <w:tblPr>
        <w:tblStyle w:val="TableGrid11"/>
        <w:tblW w:w="4878" w:type="pct"/>
        <w:tblLook w:val="01E0" w:firstRow="1" w:lastRow="1" w:firstColumn="1" w:lastColumn="1" w:noHBand="0" w:noVBand="0"/>
      </w:tblPr>
      <w:tblGrid>
        <w:gridCol w:w="1318"/>
        <w:gridCol w:w="2562"/>
        <w:gridCol w:w="1256"/>
        <w:gridCol w:w="1565"/>
        <w:gridCol w:w="1264"/>
        <w:gridCol w:w="1157"/>
      </w:tblGrid>
      <w:tr w:rsidR="006B4A48" w:rsidRPr="00397406" w14:paraId="5DD12B9A" w14:textId="77777777" w:rsidTr="00036D91">
        <w:tc>
          <w:tcPr>
            <w:tcW w:w="722" w:type="pct"/>
            <w:shd w:val="clear" w:color="auto" w:fill="D9D9D9" w:themeFill="background1" w:themeFillShade="D9"/>
          </w:tcPr>
          <w:p w14:paraId="3988EA8F" w14:textId="77777777" w:rsidR="006B4A48" w:rsidRPr="00036D91" w:rsidRDefault="00BA2E7E" w:rsidP="005729C8">
            <w:pPr>
              <w:rPr>
                <w:rFonts w:cstheme="minorHAnsi"/>
                <w:b/>
                <w:szCs w:val="20"/>
              </w:rPr>
            </w:pPr>
            <w:r w:rsidRPr="00036D91">
              <w:rPr>
                <w:rFonts w:cstheme="minorHAnsi"/>
                <w:b/>
                <w:szCs w:val="20"/>
              </w:rPr>
              <w:lastRenderedPageBreak/>
              <w:t xml:space="preserve">GSIA </w:t>
            </w:r>
            <w:r w:rsidR="00FB2590" w:rsidRPr="00036D91">
              <w:rPr>
                <w:rFonts w:cstheme="minorHAnsi"/>
                <w:b/>
                <w:szCs w:val="20"/>
              </w:rPr>
              <w:t>ID</w:t>
            </w:r>
          </w:p>
        </w:tc>
        <w:tc>
          <w:tcPr>
            <w:tcW w:w="1404" w:type="pct"/>
            <w:shd w:val="clear" w:color="auto" w:fill="D9D9D9" w:themeFill="background1" w:themeFillShade="D9"/>
          </w:tcPr>
          <w:p w14:paraId="549B4883" w14:textId="77777777" w:rsidR="006B4A48" w:rsidRPr="00036D91" w:rsidRDefault="00FB2590" w:rsidP="005729C8">
            <w:pPr>
              <w:rPr>
                <w:rFonts w:cstheme="minorHAnsi"/>
                <w:b/>
                <w:szCs w:val="20"/>
              </w:rPr>
            </w:pPr>
            <w:r w:rsidRPr="00036D91">
              <w:rPr>
                <w:rFonts w:cstheme="minorHAnsi"/>
                <w:b/>
                <w:szCs w:val="20"/>
              </w:rPr>
              <w:t>Description</w:t>
            </w:r>
          </w:p>
        </w:tc>
        <w:tc>
          <w:tcPr>
            <w:tcW w:w="688" w:type="pct"/>
            <w:shd w:val="clear" w:color="auto" w:fill="D9D9D9" w:themeFill="background1" w:themeFillShade="D9"/>
          </w:tcPr>
          <w:p w14:paraId="6439BE40" w14:textId="77777777" w:rsidR="006B4A48" w:rsidRPr="00036D91" w:rsidRDefault="00FB2590" w:rsidP="005729C8">
            <w:pPr>
              <w:rPr>
                <w:rFonts w:cstheme="minorHAnsi"/>
                <w:b/>
                <w:szCs w:val="20"/>
              </w:rPr>
            </w:pPr>
            <w:r w:rsidRPr="00036D91">
              <w:rPr>
                <w:rFonts w:cstheme="minorHAnsi"/>
                <w:b/>
                <w:szCs w:val="20"/>
              </w:rPr>
              <w:t>Sector</w:t>
            </w:r>
          </w:p>
        </w:tc>
        <w:tc>
          <w:tcPr>
            <w:tcW w:w="858" w:type="pct"/>
            <w:shd w:val="clear" w:color="auto" w:fill="D9D9D9" w:themeFill="background1" w:themeFillShade="D9"/>
          </w:tcPr>
          <w:p w14:paraId="16449656" w14:textId="77777777" w:rsidR="006B4A48" w:rsidRPr="00036D91" w:rsidRDefault="00FB2590" w:rsidP="005729C8">
            <w:pPr>
              <w:rPr>
                <w:rFonts w:cstheme="minorHAnsi"/>
                <w:b/>
                <w:szCs w:val="20"/>
              </w:rPr>
            </w:pPr>
            <w:proofErr w:type="spellStart"/>
            <w:r w:rsidRPr="00036D91">
              <w:rPr>
                <w:rFonts w:cstheme="minorHAnsi"/>
                <w:b/>
                <w:szCs w:val="20"/>
              </w:rPr>
              <w:t>BldgType</w:t>
            </w:r>
            <w:proofErr w:type="spellEnd"/>
          </w:p>
        </w:tc>
        <w:tc>
          <w:tcPr>
            <w:tcW w:w="693" w:type="pct"/>
            <w:shd w:val="clear" w:color="auto" w:fill="D9D9D9" w:themeFill="background1" w:themeFillShade="D9"/>
          </w:tcPr>
          <w:p w14:paraId="60482919" w14:textId="77777777" w:rsidR="006B4A48" w:rsidRPr="00036D91" w:rsidRDefault="006B4A48" w:rsidP="005729C8">
            <w:pPr>
              <w:rPr>
                <w:rFonts w:cstheme="minorHAnsi"/>
                <w:b/>
                <w:szCs w:val="20"/>
              </w:rPr>
            </w:pPr>
            <w:proofErr w:type="spellStart"/>
            <w:r w:rsidRPr="00036D91">
              <w:rPr>
                <w:rFonts w:cstheme="minorHAnsi"/>
                <w:b/>
                <w:szCs w:val="20"/>
              </w:rPr>
              <w:t>ProgDelivID</w:t>
            </w:r>
            <w:proofErr w:type="spellEnd"/>
          </w:p>
        </w:tc>
        <w:tc>
          <w:tcPr>
            <w:tcW w:w="634" w:type="pct"/>
            <w:shd w:val="clear" w:color="auto" w:fill="D9D9D9" w:themeFill="background1" w:themeFillShade="D9"/>
          </w:tcPr>
          <w:p w14:paraId="4B5D8557" w14:textId="77777777" w:rsidR="006B4A48" w:rsidRPr="00036D91" w:rsidRDefault="00FB2590" w:rsidP="005729C8">
            <w:pPr>
              <w:rPr>
                <w:rFonts w:cstheme="minorHAnsi"/>
                <w:b/>
                <w:szCs w:val="20"/>
              </w:rPr>
            </w:pPr>
            <w:proofErr w:type="spellStart"/>
            <w:r w:rsidRPr="00036D91">
              <w:rPr>
                <w:rFonts w:cstheme="minorHAnsi"/>
                <w:b/>
                <w:szCs w:val="20"/>
              </w:rPr>
              <w:t>GSIAValue</w:t>
            </w:r>
            <w:proofErr w:type="spellEnd"/>
          </w:p>
        </w:tc>
      </w:tr>
      <w:tr w:rsidR="002F4E34" w:rsidRPr="00874CDB" w14:paraId="03A7943E" w14:textId="77777777" w:rsidTr="00036D91">
        <w:tc>
          <w:tcPr>
            <w:tcW w:w="722" w:type="pct"/>
          </w:tcPr>
          <w:p w14:paraId="3C829A59" w14:textId="77777777" w:rsidR="002F4E34" w:rsidRPr="00874CDB" w:rsidRDefault="002F4E34" w:rsidP="005729C8">
            <w:pPr>
              <w:rPr>
                <w:szCs w:val="20"/>
              </w:rPr>
            </w:pPr>
            <w:r w:rsidRPr="00874CDB">
              <w:rPr>
                <w:szCs w:val="20"/>
              </w:rPr>
              <w:t>Def-GSIA</w:t>
            </w:r>
          </w:p>
        </w:tc>
        <w:tc>
          <w:tcPr>
            <w:tcW w:w="1404" w:type="pct"/>
          </w:tcPr>
          <w:p w14:paraId="79681548" w14:textId="77777777" w:rsidR="002F4E34" w:rsidRPr="00874CDB" w:rsidRDefault="002F4E34" w:rsidP="005729C8">
            <w:pPr>
              <w:rPr>
                <w:szCs w:val="20"/>
              </w:rPr>
            </w:pPr>
            <w:r w:rsidRPr="00874CDB">
              <w:rPr>
                <w:szCs w:val="20"/>
              </w:rPr>
              <w:t>Default GSIA values</w:t>
            </w:r>
          </w:p>
        </w:tc>
        <w:tc>
          <w:tcPr>
            <w:tcW w:w="688" w:type="pct"/>
          </w:tcPr>
          <w:p w14:paraId="290559E7" w14:textId="77777777" w:rsidR="002F4E34" w:rsidRPr="00874CDB" w:rsidRDefault="002F4E34" w:rsidP="005729C8">
            <w:pPr>
              <w:rPr>
                <w:szCs w:val="20"/>
              </w:rPr>
            </w:pPr>
            <w:r w:rsidRPr="00874CDB">
              <w:rPr>
                <w:szCs w:val="20"/>
              </w:rPr>
              <w:t>Any</w:t>
            </w:r>
          </w:p>
        </w:tc>
        <w:tc>
          <w:tcPr>
            <w:tcW w:w="858" w:type="pct"/>
          </w:tcPr>
          <w:p w14:paraId="4D56B860" w14:textId="77777777" w:rsidR="002F4E34" w:rsidRPr="00874CDB" w:rsidRDefault="002F4E34" w:rsidP="005729C8">
            <w:pPr>
              <w:rPr>
                <w:szCs w:val="20"/>
              </w:rPr>
            </w:pPr>
            <w:r w:rsidRPr="00874CDB">
              <w:rPr>
                <w:szCs w:val="20"/>
              </w:rPr>
              <w:t>Any</w:t>
            </w:r>
          </w:p>
        </w:tc>
        <w:tc>
          <w:tcPr>
            <w:tcW w:w="693" w:type="pct"/>
          </w:tcPr>
          <w:p w14:paraId="12EC2354" w14:textId="77777777" w:rsidR="002F4E34" w:rsidRPr="00874CDB" w:rsidRDefault="002F4E34" w:rsidP="005729C8">
            <w:pPr>
              <w:rPr>
                <w:szCs w:val="20"/>
              </w:rPr>
            </w:pPr>
            <w:r w:rsidRPr="00874CDB">
              <w:rPr>
                <w:szCs w:val="20"/>
              </w:rPr>
              <w:t>Any</w:t>
            </w:r>
          </w:p>
        </w:tc>
        <w:tc>
          <w:tcPr>
            <w:tcW w:w="634" w:type="pct"/>
          </w:tcPr>
          <w:p w14:paraId="081408F0" w14:textId="77777777" w:rsidR="002F4E34" w:rsidRPr="00874CDB" w:rsidRDefault="002F4E34" w:rsidP="005729C8">
            <w:pPr>
              <w:rPr>
                <w:szCs w:val="20"/>
              </w:rPr>
            </w:pPr>
            <w:r w:rsidRPr="00874CDB">
              <w:rPr>
                <w:szCs w:val="20"/>
              </w:rPr>
              <w:t>1</w:t>
            </w:r>
          </w:p>
        </w:tc>
      </w:tr>
    </w:tbl>
    <w:p w14:paraId="4EEEB2B7" w14:textId="77777777" w:rsidR="006B4A48" w:rsidRPr="00397406" w:rsidRDefault="006B4A48" w:rsidP="000968C6">
      <w:pPr>
        <w:pStyle w:val="Reminders"/>
        <w:rPr>
          <w:rFonts w:asciiTheme="minorHAnsi" w:hAnsiTheme="minorHAnsi" w:cstheme="minorHAnsi"/>
          <w:b/>
          <w:i w:val="0"/>
          <w:color w:val="auto"/>
          <w:szCs w:val="22"/>
        </w:rPr>
      </w:pPr>
    </w:p>
    <w:p w14:paraId="364AE60E" w14:textId="77777777"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14:paraId="72687D2D" w14:textId="77777777"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14:paraId="2D971C3D" w14:textId="77777777" w:rsidR="008B1357" w:rsidRPr="00397406" w:rsidRDefault="008B1357" w:rsidP="00AE1A15">
      <w:pPr>
        <w:pStyle w:val="Caption"/>
        <w:rPr>
          <w:rFonts w:cstheme="minorHAnsi"/>
          <w:szCs w:val="22"/>
        </w:rPr>
      </w:pPr>
    </w:p>
    <w:tbl>
      <w:tblPr>
        <w:tblStyle w:val="TableGrid11"/>
        <w:tblW w:w="9400" w:type="dxa"/>
        <w:tblLook w:val="04A0" w:firstRow="1" w:lastRow="0" w:firstColumn="1" w:lastColumn="0" w:noHBand="0" w:noVBand="1"/>
      </w:tblPr>
      <w:tblGrid>
        <w:gridCol w:w="1550"/>
        <w:gridCol w:w="2700"/>
        <w:gridCol w:w="891"/>
        <w:gridCol w:w="1270"/>
        <w:gridCol w:w="1529"/>
        <w:gridCol w:w="1460"/>
      </w:tblGrid>
      <w:tr w:rsidR="008B1357" w:rsidRPr="00397406" w14:paraId="55183FC9" w14:textId="77777777" w:rsidTr="00ED1256">
        <w:tc>
          <w:tcPr>
            <w:tcW w:w="1550" w:type="dxa"/>
            <w:shd w:val="clear" w:color="auto" w:fill="D9D9D9" w:themeFill="background1" w:themeFillShade="D9"/>
          </w:tcPr>
          <w:p w14:paraId="1923116D" w14:textId="77777777" w:rsidR="008B1357" w:rsidRPr="00036D91" w:rsidRDefault="008B1357" w:rsidP="00ED1256">
            <w:pPr>
              <w:rPr>
                <w:rFonts w:cstheme="minorHAnsi"/>
                <w:b/>
                <w:szCs w:val="20"/>
              </w:rPr>
            </w:pPr>
            <w:r w:rsidRPr="00036D91">
              <w:rPr>
                <w:rFonts w:cstheme="minorHAnsi"/>
                <w:b/>
                <w:szCs w:val="20"/>
              </w:rPr>
              <w:t>EUL ID</w:t>
            </w:r>
          </w:p>
        </w:tc>
        <w:tc>
          <w:tcPr>
            <w:tcW w:w="2700" w:type="dxa"/>
            <w:shd w:val="clear" w:color="auto" w:fill="D9D9D9" w:themeFill="background1" w:themeFillShade="D9"/>
          </w:tcPr>
          <w:p w14:paraId="71603E17" w14:textId="77777777" w:rsidR="008B1357" w:rsidRPr="00036D91" w:rsidRDefault="008B1357" w:rsidP="00ED1256">
            <w:pPr>
              <w:rPr>
                <w:rFonts w:cstheme="minorHAnsi"/>
                <w:b/>
                <w:szCs w:val="20"/>
              </w:rPr>
            </w:pPr>
            <w:r w:rsidRPr="00036D91">
              <w:rPr>
                <w:rFonts w:cstheme="minorHAnsi"/>
                <w:b/>
                <w:szCs w:val="20"/>
              </w:rPr>
              <w:t>Description</w:t>
            </w:r>
          </w:p>
        </w:tc>
        <w:tc>
          <w:tcPr>
            <w:tcW w:w="891" w:type="dxa"/>
            <w:shd w:val="clear" w:color="auto" w:fill="D9D9D9" w:themeFill="background1" w:themeFillShade="D9"/>
          </w:tcPr>
          <w:p w14:paraId="143ADABD" w14:textId="77777777" w:rsidR="008B1357" w:rsidRPr="00036D91" w:rsidRDefault="008B1357" w:rsidP="00ED1256">
            <w:pPr>
              <w:rPr>
                <w:rFonts w:cstheme="minorHAnsi"/>
                <w:b/>
                <w:szCs w:val="20"/>
              </w:rPr>
            </w:pPr>
            <w:r w:rsidRPr="00036D91">
              <w:rPr>
                <w:rFonts w:cstheme="minorHAnsi"/>
                <w:b/>
                <w:szCs w:val="20"/>
              </w:rPr>
              <w:t>Sector</w:t>
            </w:r>
          </w:p>
        </w:tc>
        <w:tc>
          <w:tcPr>
            <w:tcW w:w="1270" w:type="dxa"/>
            <w:shd w:val="clear" w:color="auto" w:fill="D9D9D9" w:themeFill="background1" w:themeFillShade="D9"/>
          </w:tcPr>
          <w:p w14:paraId="30E64B2B" w14:textId="77777777" w:rsidR="008B1357" w:rsidRPr="00036D91" w:rsidRDefault="00BA2E7E" w:rsidP="00ED1256">
            <w:pPr>
              <w:rPr>
                <w:rFonts w:cstheme="minorHAnsi"/>
                <w:b/>
                <w:szCs w:val="20"/>
              </w:rPr>
            </w:pPr>
            <w:proofErr w:type="spellStart"/>
            <w:r w:rsidRPr="00036D91">
              <w:rPr>
                <w:rFonts w:cstheme="minorHAnsi"/>
                <w:b/>
                <w:szCs w:val="20"/>
              </w:rPr>
              <w:t>UseCategory</w:t>
            </w:r>
            <w:proofErr w:type="spellEnd"/>
          </w:p>
        </w:tc>
        <w:tc>
          <w:tcPr>
            <w:tcW w:w="1529" w:type="dxa"/>
            <w:shd w:val="clear" w:color="auto" w:fill="D9D9D9" w:themeFill="background1" w:themeFillShade="D9"/>
          </w:tcPr>
          <w:p w14:paraId="0DDE878B" w14:textId="77777777" w:rsidR="008B1357" w:rsidRPr="00036D91" w:rsidRDefault="008B1357" w:rsidP="00ED1256">
            <w:pPr>
              <w:rPr>
                <w:rFonts w:cstheme="minorHAnsi"/>
                <w:b/>
                <w:szCs w:val="20"/>
              </w:rPr>
            </w:pPr>
            <w:r w:rsidRPr="00036D91">
              <w:rPr>
                <w:rFonts w:cstheme="minorHAnsi"/>
                <w:b/>
                <w:szCs w:val="20"/>
              </w:rPr>
              <w:t>EUL (Years)</w:t>
            </w:r>
          </w:p>
        </w:tc>
        <w:tc>
          <w:tcPr>
            <w:tcW w:w="1460" w:type="dxa"/>
            <w:shd w:val="clear" w:color="auto" w:fill="D9D9D9" w:themeFill="background1" w:themeFillShade="D9"/>
          </w:tcPr>
          <w:p w14:paraId="2D028796" w14:textId="77777777" w:rsidR="008B1357" w:rsidRPr="00036D91" w:rsidRDefault="008B1357" w:rsidP="00ED1256">
            <w:pPr>
              <w:rPr>
                <w:rFonts w:cstheme="minorHAnsi"/>
                <w:b/>
                <w:szCs w:val="20"/>
              </w:rPr>
            </w:pPr>
            <w:r w:rsidRPr="00036D91">
              <w:rPr>
                <w:rFonts w:cstheme="minorHAnsi"/>
                <w:b/>
                <w:szCs w:val="20"/>
              </w:rPr>
              <w:t>RUL (Years)</w:t>
            </w:r>
          </w:p>
        </w:tc>
      </w:tr>
      <w:tr w:rsidR="0078551D" w:rsidRPr="00397406" w14:paraId="3113D9C1" w14:textId="77777777" w:rsidTr="00ED1256">
        <w:trPr>
          <w:trHeight w:val="243"/>
        </w:trPr>
        <w:tc>
          <w:tcPr>
            <w:tcW w:w="1550" w:type="dxa"/>
          </w:tcPr>
          <w:p w14:paraId="1E53E800" w14:textId="77777777" w:rsidR="0078551D" w:rsidRPr="00697868" w:rsidRDefault="0078551D" w:rsidP="00ED1256">
            <w:pPr>
              <w:rPr>
                <w:rFonts w:cstheme="minorHAnsi"/>
                <w:szCs w:val="20"/>
              </w:rPr>
            </w:pPr>
            <w:proofErr w:type="spellStart"/>
            <w:r w:rsidRPr="00273434">
              <w:rPr>
                <w:rFonts w:cstheme="minorHAnsi"/>
                <w:szCs w:val="20"/>
              </w:rPr>
              <w:t>WtrHt-HtPmp</w:t>
            </w:r>
            <w:proofErr w:type="spellEnd"/>
          </w:p>
        </w:tc>
        <w:tc>
          <w:tcPr>
            <w:tcW w:w="2700" w:type="dxa"/>
          </w:tcPr>
          <w:p w14:paraId="13F803A5" w14:textId="77777777" w:rsidR="0078551D" w:rsidRPr="00697868" w:rsidRDefault="0078551D" w:rsidP="00ED1256">
            <w:pPr>
              <w:rPr>
                <w:rFonts w:cstheme="minorHAnsi"/>
                <w:szCs w:val="20"/>
              </w:rPr>
            </w:pPr>
            <w:r w:rsidRPr="00273434">
              <w:rPr>
                <w:rFonts w:cstheme="minorHAnsi"/>
                <w:szCs w:val="20"/>
              </w:rPr>
              <w:t>Heat Pump Water Heater</w:t>
            </w:r>
          </w:p>
        </w:tc>
        <w:tc>
          <w:tcPr>
            <w:tcW w:w="891" w:type="dxa"/>
          </w:tcPr>
          <w:p w14:paraId="2CB09AE6" w14:textId="77777777" w:rsidR="0078551D" w:rsidRPr="00697868" w:rsidRDefault="0078551D" w:rsidP="00ED1256">
            <w:pPr>
              <w:rPr>
                <w:rFonts w:cstheme="minorHAnsi"/>
                <w:szCs w:val="20"/>
              </w:rPr>
            </w:pPr>
            <w:r>
              <w:rPr>
                <w:rFonts w:cstheme="minorHAnsi"/>
                <w:szCs w:val="20"/>
              </w:rPr>
              <w:t>Res</w:t>
            </w:r>
          </w:p>
        </w:tc>
        <w:tc>
          <w:tcPr>
            <w:tcW w:w="1270" w:type="dxa"/>
          </w:tcPr>
          <w:p w14:paraId="0E3327C0" w14:textId="77777777" w:rsidR="0078551D" w:rsidRPr="00697868" w:rsidRDefault="00006B1F" w:rsidP="00ED1256">
            <w:pPr>
              <w:rPr>
                <w:rFonts w:cstheme="minorHAnsi"/>
                <w:szCs w:val="20"/>
              </w:rPr>
            </w:pPr>
            <w:r w:rsidRPr="00006B1F">
              <w:rPr>
                <w:rFonts w:cstheme="minorHAnsi"/>
                <w:szCs w:val="20"/>
              </w:rPr>
              <w:t>SHW</w:t>
            </w:r>
          </w:p>
        </w:tc>
        <w:tc>
          <w:tcPr>
            <w:tcW w:w="1529" w:type="dxa"/>
          </w:tcPr>
          <w:p w14:paraId="5B889B15" w14:textId="77777777" w:rsidR="0078551D" w:rsidRPr="00697868" w:rsidRDefault="0078551D" w:rsidP="00ED1256">
            <w:pPr>
              <w:rPr>
                <w:rFonts w:cstheme="minorHAnsi"/>
                <w:szCs w:val="20"/>
              </w:rPr>
            </w:pPr>
            <w:r>
              <w:rPr>
                <w:rFonts w:cstheme="minorHAnsi"/>
                <w:szCs w:val="20"/>
              </w:rPr>
              <w:t>10</w:t>
            </w:r>
          </w:p>
        </w:tc>
        <w:tc>
          <w:tcPr>
            <w:tcW w:w="1460" w:type="dxa"/>
          </w:tcPr>
          <w:p w14:paraId="22B26686" w14:textId="77777777" w:rsidR="0078551D" w:rsidRPr="00697868" w:rsidRDefault="00EC03BE" w:rsidP="00ED1256">
            <w:pPr>
              <w:rPr>
                <w:rFonts w:cstheme="minorHAnsi"/>
                <w:szCs w:val="20"/>
              </w:rPr>
            </w:pPr>
            <w:r>
              <w:rPr>
                <w:rFonts w:cstheme="minorHAnsi"/>
                <w:szCs w:val="20"/>
              </w:rPr>
              <w:t>3.3</w:t>
            </w:r>
          </w:p>
        </w:tc>
      </w:tr>
    </w:tbl>
    <w:p w14:paraId="619587FE" w14:textId="77777777"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0"/>
    </w:p>
    <w:p w14:paraId="408F1508" w14:textId="77777777" w:rsidR="00A87969" w:rsidRPr="00A87969" w:rsidRDefault="00A87969" w:rsidP="00A87969">
      <w:pPr>
        <w:rPr>
          <w:rFonts w:cs="Arial"/>
          <w:szCs w:val="22"/>
        </w:rPr>
      </w:pPr>
      <w:r w:rsidRPr="00A87969">
        <w:rPr>
          <w:rFonts w:cs="Arial"/>
          <w:szCs w:val="22"/>
        </w:rPr>
        <w:t>The measures in this work paper are considered small water heaters. A small water heater can be defined as an ESWH with an input of 12 kW or less, or a HPWH rated at 24 amps or less.</w:t>
      </w:r>
      <w:r>
        <w:rPr>
          <w:rFonts w:cs="Arial"/>
          <w:szCs w:val="22"/>
        </w:rPr>
        <w:t xml:space="preserve">  The following codes apply to the measures in this work paper:</w:t>
      </w:r>
    </w:p>
    <w:p w14:paraId="4C26B41D" w14:textId="77777777" w:rsidR="009D5131" w:rsidRDefault="009D5131" w:rsidP="009D5131">
      <w:pPr>
        <w:pStyle w:val="Reminders"/>
        <w:rPr>
          <w:rFonts w:asciiTheme="minorHAnsi" w:hAnsiTheme="minorHAnsi" w:cstheme="minorHAnsi"/>
          <w:i w:val="0"/>
          <w:szCs w:val="22"/>
        </w:rPr>
      </w:pPr>
    </w:p>
    <w:p w14:paraId="03D89F12" w14:textId="77777777" w:rsidR="00A87969" w:rsidRPr="00A87969" w:rsidRDefault="00A87969" w:rsidP="00A87969">
      <w:pPr>
        <w:rPr>
          <w:rFonts w:cs="Arial"/>
          <w:b/>
          <w:szCs w:val="22"/>
        </w:rPr>
      </w:pPr>
      <w:r w:rsidRPr="00A87969">
        <w:rPr>
          <w:rFonts w:cs="Arial"/>
          <w:b/>
          <w:szCs w:val="22"/>
        </w:rPr>
        <w:t>Title 20 (</w:t>
      </w:r>
      <w:r w:rsidR="009837BA" w:rsidRPr="00A87969">
        <w:rPr>
          <w:rFonts w:cs="Arial"/>
          <w:b/>
          <w:szCs w:val="22"/>
        </w:rPr>
        <w:t>201</w:t>
      </w:r>
      <w:r w:rsidR="009837BA">
        <w:rPr>
          <w:rFonts w:cs="Arial"/>
          <w:b/>
          <w:szCs w:val="22"/>
        </w:rPr>
        <w:t>6</w:t>
      </w:r>
      <w:r w:rsidRPr="00A87969">
        <w:rPr>
          <w:rFonts w:cs="Arial"/>
          <w:b/>
          <w:szCs w:val="22"/>
        </w:rPr>
        <w:t>) [</w:t>
      </w:r>
      <w:r w:rsidR="008532FE">
        <w:rPr>
          <w:rFonts w:cs="Arial"/>
          <w:b/>
          <w:szCs w:val="22"/>
        </w:rPr>
        <w:t>508</w:t>
      </w:r>
      <w:r w:rsidRPr="00A87969">
        <w:rPr>
          <w:rFonts w:cs="Arial"/>
          <w:b/>
          <w:szCs w:val="22"/>
        </w:rPr>
        <w:t>]</w:t>
      </w:r>
    </w:p>
    <w:p w14:paraId="285B238C" w14:textId="77777777" w:rsidR="00A87969" w:rsidRPr="00A87969" w:rsidRDefault="00A87969" w:rsidP="00A87969">
      <w:pPr>
        <w:rPr>
          <w:rFonts w:cs="Arial"/>
          <w:szCs w:val="22"/>
        </w:rPr>
      </w:pPr>
      <w:r w:rsidRPr="00A87969">
        <w:rPr>
          <w:rFonts w:cs="Arial"/>
          <w:szCs w:val="22"/>
        </w:rPr>
        <w:t>Section 1605.1(f</w:t>
      </w:r>
      <w:proofErr w:type="gramStart"/>
      <w:r w:rsidRPr="00A87969">
        <w:rPr>
          <w:rFonts w:cs="Arial"/>
          <w:szCs w:val="22"/>
        </w:rPr>
        <w:t>)(</w:t>
      </w:r>
      <w:proofErr w:type="gramEnd"/>
      <w:r w:rsidRPr="00A87969">
        <w:rPr>
          <w:rFonts w:cs="Arial"/>
          <w:szCs w:val="22"/>
        </w:rPr>
        <w:t>2) provides minimum Energy Factor requirements for ESWHs and HPWHs</w:t>
      </w:r>
      <w:r w:rsidRPr="00A87969">
        <w:rPr>
          <w:rFonts w:cs="Arial"/>
          <w:szCs w:val="22"/>
        </w:rPr>
        <w:fldChar w:fldCharType="begin"/>
      </w:r>
      <w:r w:rsidRPr="00A87969">
        <w:rPr>
          <w:rFonts w:cs="Arial"/>
          <w:szCs w:val="22"/>
        </w:rPr>
        <w:instrText xml:space="preserve"> XE "Title 20" </w:instrText>
      </w:r>
      <w:r w:rsidRPr="00A87969">
        <w:rPr>
          <w:rFonts w:cs="Arial"/>
          <w:szCs w:val="22"/>
        </w:rPr>
        <w:fldChar w:fldCharType="end"/>
      </w:r>
      <w:r w:rsidRPr="00A87969">
        <w:rPr>
          <w:rFonts w:cs="Arial"/>
          <w:szCs w:val="22"/>
        </w:rPr>
        <w:t>:</w:t>
      </w:r>
    </w:p>
    <w:p w14:paraId="4B6F7991" w14:textId="77777777" w:rsidR="00A87969" w:rsidRPr="00A87969" w:rsidRDefault="00A87969" w:rsidP="00A87969">
      <w:pPr>
        <w:rPr>
          <w:rFonts w:cs="Arial"/>
          <w:szCs w:val="22"/>
        </w:rPr>
      </w:pPr>
    </w:p>
    <w:tbl>
      <w:tblPr>
        <w:tblStyle w:val="TableGrid1"/>
        <w:tblW w:w="0" w:type="auto"/>
        <w:tblLook w:val="04A0" w:firstRow="1" w:lastRow="0" w:firstColumn="1" w:lastColumn="0" w:noHBand="0" w:noVBand="1"/>
      </w:tblPr>
      <w:tblGrid>
        <w:gridCol w:w="9350"/>
      </w:tblGrid>
      <w:tr w:rsidR="00A87969" w:rsidRPr="00A87969" w14:paraId="5EE3FD06" w14:textId="77777777" w:rsidTr="00A87969">
        <w:tc>
          <w:tcPr>
            <w:tcW w:w="9576" w:type="dxa"/>
          </w:tcPr>
          <w:p w14:paraId="0E978300" w14:textId="77777777" w:rsidR="00A87969" w:rsidRPr="00A87969" w:rsidRDefault="00A87969" w:rsidP="00A87969">
            <w:pPr>
              <w:rPr>
                <w:rFonts w:cs="Arial"/>
                <w:b/>
                <w:i/>
                <w:szCs w:val="22"/>
              </w:rPr>
            </w:pPr>
            <w:r w:rsidRPr="00A87969">
              <w:rPr>
                <w:noProof/>
                <w:sz w:val="24"/>
              </w:rPr>
              <w:drawing>
                <wp:inline distT="0" distB="0" distL="0" distR="0" wp14:anchorId="6E563D4C" wp14:editId="7D7A81F2">
                  <wp:extent cx="5943600" cy="554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554355"/>
                          </a:xfrm>
                          <a:prstGeom prst="rect">
                            <a:avLst/>
                          </a:prstGeom>
                        </pic:spPr>
                      </pic:pic>
                    </a:graphicData>
                  </a:graphic>
                </wp:inline>
              </w:drawing>
            </w:r>
          </w:p>
          <w:p w14:paraId="658949E0" w14:textId="77777777" w:rsidR="00A87969" w:rsidRPr="00A87969" w:rsidRDefault="00E82CBE" w:rsidP="00A87969">
            <w:pPr>
              <w:rPr>
                <w:rFonts w:cs="Arial"/>
                <w:b/>
                <w:i/>
                <w:szCs w:val="22"/>
              </w:rPr>
            </w:pPr>
            <w:r>
              <w:rPr>
                <w:noProof/>
              </w:rPr>
              <w:t xml:space="preserve"> </w:t>
            </w:r>
            <w:r>
              <w:rPr>
                <w:noProof/>
              </w:rPr>
              <w:drawing>
                <wp:inline distT="0" distB="0" distL="0" distR="0" wp14:anchorId="5FD80C23" wp14:editId="7E5671DA">
                  <wp:extent cx="5800725" cy="272373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09349" cy="2727787"/>
                          </a:xfrm>
                          <a:prstGeom prst="rect">
                            <a:avLst/>
                          </a:prstGeom>
                        </pic:spPr>
                      </pic:pic>
                    </a:graphicData>
                  </a:graphic>
                </wp:inline>
              </w:drawing>
            </w:r>
          </w:p>
        </w:tc>
      </w:tr>
    </w:tbl>
    <w:p w14:paraId="6B6EC989" w14:textId="77777777" w:rsidR="00A87969" w:rsidRPr="00A87969" w:rsidRDefault="00A87969" w:rsidP="00A87969">
      <w:pPr>
        <w:rPr>
          <w:rFonts w:cs="Arial"/>
          <w:szCs w:val="22"/>
        </w:rPr>
      </w:pPr>
    </w:p>
    <w:p w14:paraId="14367E5D" w14:textId="77777777" w:rsidR="00A87969" w:rsidRPr="00A87969" w:rsidRDefault="00A87969" w:rsidP="00A87969">
      <w:pPr>
        <w:rPr>
          <w:rFonts w:cs="Arial"/>
          <w:b/>
          <w:szCs w:val="22"/>
        </w:rPr>
      </w:pPr>
      <w:r w:rsidRPr="00A87969">
        <w:rPr>
          <w:rFonts w:cs="Arial"/>
          <w:b/>
          <w:szCs w:val="22"/>
        </w:rPr>
        <w:t>Title 24 (</w:t>
      </w:r>
      <w:r w:rsidR="009837BA" w:rsidRPr="00A87969">
        <w:rPr>
          <w:rFonts w:cs="Arial"/>
          <w:b/>
          <w:szCs w:val="22"/>
        </w:rPr>
        <w:t>201</w:t>
      </w:r>
      <w:r w:rsidR="009837BA">
        <w:rPr>
          <w:rFonts w:cs="Arial"/>
          <w:b/>
          <w:szCs w:val="22"/>
        </w:rPr>
        <w:t>6</w:t>
      </w:r>
      <w:r w:rsidRPr="00A87969">
        <w:rPr>
          <w:rFonts w:cs="Arial"/>
          <w:b/>
          <w:szCs w:val="22"/>
        </w:rPr>
        <w:t>) [</w:t>
      </w:r>
      <w:r w:rsidR="008532FE">
        <w:rPr>
          <w:rFonts w:cs="Arial"/>
          <w:b/>
          <w:szCs w:val="22"/>
        </w:rPr>
        <w:t>496</w:t>
      </w:r>
      <w:r w:rsidRPr="00A87969">
        <w:rPr>
          <w:rFonts w:cs="Arial"/>
          <w:b/>
          <w:szCs w:val="22"/>
        </w:rPr>
        <w:t>]</w:t>
      </w:r>
    </w:p>
    <w:p w14:paraId="099A775A" w14:textId="77777777" w:rsidR="007244C7" w:rsidRDefault="007244C7" w:rsidP="00A87969">
      <w:pPr>
        <w:rPr>
          <w:rFonts w:cstheme="minorHAnsi"/>
          <w:szCs w:val="22"/>
        </w:rPr>
      </w:pPr>
      <w:r>
        <w:rPr>
          <w:rFonts w:cstheme="minorHAnsi"/>
          <w:szCs w:val="22"/>
        </w:rPr>
        <w:t>Section 110.1</w:t>
      </w:r>
      <w:r w:rsidRPr="00ED5C3A">
        <w:rPr>
          <w:rFonts w:cstheme="minorHAnsi"/>
          <w:szCs w:val="22"/>
        </w:rPr>
        <w:t xml:space="preserve"> references the requirements set in Title 20.</w:t>
      </w:r>
    </w:p>
    <w:p w14:paraId="05E168B4" w14:textId="77777777" w:rsidR="00A87969" w:rsidRPr="00A87969" w:rsidRDefault="00A87969" w:rsidP="00A87969">
      <w:pPr>
        <w:rPr>
          <w:szCs w:val="22"/>
        </w:rPr>
      </w:pPr>
    </w:p>
    <w:p w14:paraId="337A6CED" w14:textId="77777777" w:rsidR="00A87969" w:rsidRPr="00A87969" w:rsidRDefault="00A87969" w:rsidP="00A87969">
      <w:pPr>
        <w:rPr>
          <w:szCs w:val="22"/>
        </w:rPr>
      </w:pPr>
      <w:r w:rsidRPr="00A87969">
        <w:rPr>
          <w:rFonts w:cs="Arial"/>
          <w:b/>
          <w:szCs w:val="22"/>
        </w:rPr>
        <w:t>Federal Standards – Code of Federal Regulations [393]</w:t>
      </w:r>
    </w:p>
    <w:p w14:paraId="7AB18807" w14:textId="77777777" w:rsidR="00A87969" w:rsidRPr="00A87969" w:rsidRDefault="00A87969" w:rsidP="00A87969">
      <w:pPr>
        <w:rPr>
          <w:szCs w:val="22"/>
        </w:rPr>
      </w:pPr>
      <w:r w:rsidRPr="00A87969">
        <w:rPr>
          <w:szCs w:val="22"/>
        </w:rPr>
        <w:t xml:space="preserve">The Code of Federal Regulations, 10 CFR 430.32(d) provides requirements for ESWHs but not HPWHs. </w:t>
      </w:r>
    </w:p>
    <w:p w14:paraId="07BC5CC6" w14:textId="77777777" w:rsidR="00A87969" w:rsidRPr="00A87969" w:rsidRDefault="00A87969" w:rsidP="00A87969">
      <w:pPr>
        <w:rPr>
          <w:szCs w:val="22"/>
        </w:rPr>
      </w:pPr>
    </w:p>
    <w:p w14:paraId="603FBE84" w14:textId="77777777" w:rsidR="00A87969" w:rsidRPr="00A87969" w:rsidRDefault="006715E8" w:rsidP="00A87969">
      <w:pPr>
        <w:rPr>
          <w:szCs w:val="22"/>
        </w:rPr>
      </w:pPr>
      <w:r>
        <w:rPr>
          <w:noProof/>
        </w:rPr>
        <w:drawing>
          <wp:inline distT="0" distB="0" distL="0" distR="0" wp14:anchorId="555AC1EA" wp14:editId="15CE0274">
            <wp:extent cx="5943600" cy="48761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4876165"/>
                    </a:xfrm>
                    <a:prstGeom prst="rect">
                      <a:avLst/>
                    </a:prstGeom>
                  </pic:spPr>
                </pic:pic>
              </a:graphicData>
            </a:graphic>
          </wp:inline>
        </w:drawing>
      </w:r>
    </w:p>
    <w:p w14:paraId="087CBCB3" w14:textId="77777777" w:rsidR="00D35FB1" w:rsidRDefault="00D35FB1" w:rsidP="00B36B68">
      <w:pPr>
        <w:tabs>
          <w:tab w:val="left" w:pos="1820"/>
        </w:tabs>
        <w:rPr>
          <w:szCs w:val="22"/>
        </w:rPr>
      </w:pPr>
    </w:p>
    <w:p w14:paraId="345FE456" w14:textId="77777777" w:rsidR="00D35FB1" w:rsidRDefault="00D35FB1" w:rsidP="00B36B68">
      <w:pPr>
        <w:tabs>
          <w:tab w:val="left" w:pos="1820"/>
        </w:tabs>
        <w:rPr>
          <w:szCs w:val="22"/>
        </w:rPr>
      </w:pPr>
      <w:r>
        <w:rPr>
          <w:szCs w:val="22"/>
        </w:rPr>
        <w:t>Note: Beginning June 12</w:t>
      </w:r>
      <w:r w:rsidRPr="004D486C">
        <w:rPr>
          <w:szCs w:val="22"/>
          <w:vertAlign w:val="superscript"/>
        </w:rPr>
        <w:t>th</w:t>
      </w:r>
      <w:r>
        <w:rPr>
          <w:szCs w:val="22"/>
        </w:rPr>
        <w:t>, 2017, EF ratings were replaced with the new industry standard for measuring energy efficiency in water heaters, known as the Uniform Energy Factor (UEF). However, Title 20</w:t>
      </w:r>
      <w:r w:rsidR="006715E8">
        <w:rPr>
          <w:szCs w:val="22"/>
        </w:rPr>
        <w:t xml:space="preserve"> </w:t>
      </w:r>
      <w:r>
        <w:rPr>
          <w:szCs w:val="22"/>
        </w:rPr>
        <w:t xml:space="preserve">and DEER are still using EF and have not been updated yet. Energy Star currently has certification requirements for either EF or UEF. This work paper and the associated solution codes </w:t>
      </w:r>
      <w:r w:rsidR="004D1ED6">
        <w:rPr>
          <w:szCs w:val="22"/>
        </w:rPr>
        <w:t xml:space="preserve">have been converted to UEF from EF, using the </w:t>
      </w:r>
      <w:r w:rsidR="000A7181">
        <w:rPr>
          <w:szCs w:val="22"/>
        </w:rPr>
        <w:t>equations in the calculation methodology section.</w:t>
      </w:r>
    </w:p>
    <w:p w14:paraId="5DC791C1" w14:textId="77777777" w:rsidR="00A87969" w:rsidRPr="00397406" w:rsidRDefault="00A87969" w:rsidP="00B36B68">
      <w:pPr>
        <w:tabs>
          <w:tab w:val="left" w:pos="1820"/>
        </w:tabs>
        <w:rPr>
          <w:rFonts w:cstheme="minorHAnsi"/>
          <w:i/>
          <w:szCs w:val="22"/>
        </w:rPr>
      </w:pPr>
      <w:r w:rsidRPr="00A87969">
        <w:rPr>
          <w:szCs w:val="22"/>
        </w:rPr>
        <w:tab/>
      </w:r>
    </w:p>
    <w:p w14:paraId="4C2F8323" w14:textId="77777777" w:rsidR="00B07EE5" w:rsidRPr="00397406" w:rsidRDefault="005A1078" w:rsidP="0060028B">
      <w:pPr>
        <w:pStyle w:val="Caption"/>
        <w:keepNext/>
        <w:rPr>
          <w:rFonts w:cstheme="minorHAnsi"/>
          <w:szCs w:val="22"/>
        </w:rPr>
      </w:pPr>
      <w:r w:rsidRPr="00397406">
        <w:rPr>
          <w:rFonts w:cstheme="minorHAnsi"/>
          <w:szCs w:val="22"/>
        </w:rPr>
        <w:t>Code Summary</w:t>
      </w:r>
    </w:p>
    <w:tbl>
      <w:tblPr>
        <w:tblStyle w:val="TableGrid11"/>
        <w:tblW w:w="8027" w:type="dxa"/>
        <w:tblLook w:val="04A0" w:firstRow="1" w:lastRow="0" w:firstColumn="1" w:lastColumn="0" w:noHBand="0" w:noVBand="1"/>
      </w:tblPr>
      <w:tblGrid>
        <w:gridCol w:w="1854"/>
        <w:gridCol w:w="4352"/>
        <w:gridCol w:w="1821"/>
      </w:tblGrid>
      <w:tr w:rsidR="00881A42" w:rsidRPr="00397406" w14:paraId="3A870B9B" w14:textId="77777777" w:rsidTr="00036D91">
        <w:tc>
          <w:tcPr>
            <w:tcW w:w="1854" w:type="dxa"/>
            <w:shd w:val="clear" w:color="auto" w:fill="D9D9D9" w:themeFill="background1" w:themeFillShade="D9"/>
          </w:tcPr>
          <w:p w14:paraId="55C6B061" w14:textId="77777777" w:rsidR="00881A42" w:rsidRPr="00036D91" w:rsidRDefault="00881A42" w:rsidP="00DF0D19">
            <w:pPr>
              <w:rPr>
                <w:rFonts w:cstheme="minorHAnsi"/>
                <w:b/>
                <w:szCs w:val="20"/>
              </w:rPr>
            </w:pPr>
            <w:r w:rsidRPr="00036D91">
              <w:rPr>
                <w:rFonts w:cstheme="minorHAnsi"/>
                <w:b/>
                <w:szCs w:val="20"/>
              </w:rPr>
              <w:t>Code</w:t>
            </w:r>
          </w:p>
        </w:tc>
        <w:tc>
          <w:tcPr>
            <w:tcW w:w="4352" w:type="dxa"/>
            <w:shd w:val="clear" w:color="auto" w:fill="D9D9D9" w:themeFill="background1" w:themeFillShade="D9"/>
          </w:tcPr>
          <w:p w14:paraId="42694AD6" w14:textId="77777777" w:rsidR="00881A42" w:rsidRPr="00036D91" w:rsidRDefault="00CB0100" w:rsidP="00A87969">
            <w:pPr>
              <w:jc w:val="center"/>
              <w:rPr>
                <w:rFonts w:cstheme="minorHAnsi"/>
                <w:b/>
                <w:szCs w:val="20"/>
              </w:rPr>
            </w:pPr>
            <w:r w:rsidRPr="00036D91">
              <w:rPr>
                <w:rFonts w:cstheme="minorHAnsi"/>
                <w:b/>
                <w:szCs w:val="20"/>
              </w:rPr>
              <w:t xml:space="preserve">Applicable </w:t>
            </w:r>
            <w:r w:rsidR="00881A42" w:rsidRPr="00036D91">
              <w:rPr>
                <w:rFonts w:cstheme="minorHAnsi"/>
                <w:b/>
                <w:szCs w:val="20"/>
              </w:rPr>
              <w:t>Code Reference</w:t>
            </w:r>
          </w:p>
        </w:tc>
        <w:tc>
          <w:tcPr>
            <w:tcW w:w="1821" w:type="dxa"/>
            <w:shd w:val="clear" w:color="auto" w:fill="D9D9D9" w:themeFill="background1" w:themeFillShade="D9"/>
          </w:tcPr>
          <w:p w14:paraId="5C68C629" w14:textId="77777777" w:rsidR="00881A42" w:rsidRPr="00036D91" w:rsidRDefault="00881A42" w:rsidP="00DF0D19">
            <w:pPr>
              <w:rPr>
                <w:rFonts w:cstheme="minorHAnsi"/>
                <w:b/>
                <w:szCs w:val="20"/>
              </w:rPr>
            </w:pPr>
            <w:r w:rsidRPr="00036D91">
              <w:rPr>
                <w:rFonts w:cstheme="minorHAnsi"/>
                <w:b/>
                <w:szCs w:val="20"/>
              </w:rPr>
              <w:t>Effective Dates</w:t>
            </w:r>
          </w:p>
        </w:tc>
      </w:tr>
      <w:tr w:rsidR="007244C7" w:rsidRPr="00397406" w14:paraId="7215D435" w14:textId="77777777" w:rsidTr="00036D91">
        <w:trPr>
          <w:trHeight w:val="243"/>
        </w:trPr>
        <w:tc>
          <w:tcPr>
            <w:tcW w:w="1854" w:type="dxa"/>
          </w:tcPr>
          <w:p w14:paraId="69D504AF" w14:textId="77777777" w:rsidR="007244C7" w:rsidRPr="00FE32DD" w:rsidRDefault="007244C7">
            <w:pPr>
              <w:rPr>
                <w:rFonts w:cstheme="minorHAnsi"/>
                <w:szCs w:val="20"/>
              </w:rPr>
            </w:pPr>
            <w:r>
              <w:rPr>
                <w:rFonts w:cstheme="minorHAnsi"/>
                <w:szCs w:val="20"/>
              </w:rPr>
              <w:t>Title 24 (2016)</w:t>
            </w:r>
          </w:p>
        </w:tc>
        <w:tc>
          <w:tcPr>
            <w:tcW w:w="4352" w:type="dxa"/>
          </w:tcPr>
          <w:p w14:paraId="2C21A370" w14:textId="77777777" w:rsidR="007244C7" w:rsidRPr="00FE32DD" w:rsidRDefault="007244C7" w:rsidP="007244C7">
            <w:pPr>
              <w:rPr>
                <w:rFonts w:cstheme="minorHAnsi"/>
                <w:szCs w:val="20"/>
              </w:rPr>
            </w:pPr>
            <w:r>
              <w:rPr>
                <w:rFonts w:cstheme="minorHAnsi"/>
                <w:szCs w:val="20"/>
              </w:rPr>
              <w:t>Section 110.1 Mandatory Requirements for Appliances</w:t>
            </w:r>
          </w:p>
        </w:tc>
        <w:tc>
          <w:tcPr>
            <w:tcW w:w="1821" w:type="dxa"/>
          </w:tcPr>
          <w:p w14:paraId="2187CED0" w14:textId="77777777" w:rsidR="007244C7" w:rsidRPr="00FE32DD" w:rsidRDefault="007244C7" w:rsidP="007244C7">
            <w:pPr>
              <w:rPr>
                <w:rFonts w:cstheme="minorHAnsi"/>
                <w:szCs w:val="20"/>
              </w:rPr>
            </w:pPr>
            <w:r>
              <w:rPr>
                <w:rFonts w:cstheme="minorHAnsi"/>
                <w:szCs w:val="20"/>
              </w:rPr>
              <w:t>January</w:t>
            </w:r>
            <w:r w:rsidRPr="00ED5C3A">
              <w:rPr>
                <w:rFonts w:cstheme="minorHAnsi"/>
                <w:szCs w:val="20"/>
              </w:rPr>
              <w:t xml:space="preserve"> 1, 201</w:t>
            </w:r>
            <w:r>
              <w:rPr>
                <w:rFonts w:cstheme="minorHAnsi"/>
                <w:szCs w:val="20"/>
              </w:rPr>
              <w:t>7</w:t>
            </w:r>
          </w:p>
        </w:tc>
      </w:tr>
      <w:tr w:rsidR="007244C7" w:rsidRPr="00397406" w14:paraId="380EEF25" w14:textId="77777777" w:rsidTr="00036D91">
        <w:trPr>
          <w:trHeight w:val="243"/>
        </w:trPr>
        <w:tc>
          <w:tcPr>
            <w:tcW w:w="1854" w:type="dxa"/>
          </w:tcPr>
          <w:p w14:paraId="4A7ADC81" w14:textId="77777777" w:rsidR="007244C7" w:rsidRDefault="007244C7">
            <w:pPr>
              <w:rPr>
                <w:rFonts w:cstheme="minorHAnsi"/>
                <w:szCs w:val="20"/>
              </w:rPr>
            </w:pPr>
            <w:r w:rsidRPr="00FE32DD">
              <w:rPr>
                <w:rFonts w:cstheme="minorHAnsi"/>
                <w:szCs w:val="20"/>
              </w:rPr>
              <w:t>Title 20 (201</w:t>
            </w:r>
            <w:r>
              <w:rPr>
                <w:rFonts w:cstheme="minorHAnsi"/>
                <w:szCs w:val="20"/>
              </w:rPr>
              <w:t>6</w:t>
            </w:r>
            <w:r w:rsidRPr="00FE32DD">
              <w:rPr>
                <w:rFonts w:cstheme="minorHAnsi"/>
                <w:szCs w:val="20"/>
              </w:rPr>
              <w:t>)</w:t>
            </w:r>
          </w:p>
        </w:tc>
        <w:tc>
          <w:tcPr>
            <w:tcW w:w="4352" w:type="dxa"/>
          </w:tcPr>
          <w:p w14:paraId="666A2664" w14:textId="77777777" w:rsidR="007244C7" w:rsidRDefault="007244C7" w:rsidP="007244C7">
            <w:pPr>
              <w:rPr>
                <w:rFonts w:cstheme="minorHAnsi"/>
                <w:szCs w:val="20"/>
              </w:rPr>
            </w:pPr>
            <w:r w:rsidRPr="00022A1E">
              <w:rPr>
                <w:rFonts w:cstheme="minorHAnsi"/>
                <w:szCs w:val="20"/>
              </w:rPr>
              <w:t>Section 1605.1(f)(2)</w:t>
            </w:r>
          </w:p>
        </w:tc>
        <w:tc>
          <w:tcPr>
            <w:tcW w:w="1821" w:type="dxa"/>
          </w:tcPr>
          <w:p w14:paraId="114FA8E4" w14:textId="77777777" w:rsidR="007244C7" w:rsidRDefault="007244C7" w:rsidP="007244C7">
            <w:pPr>
              <w:rPr>
                <w:rFonts w:cstheme="minorHAnsi"/>
                <w:szCs w:val="20"/>
              </w:rPr>
            </w:pPr>
            <w:r>
              <w:rPr>
                <w:rFonts w:cstheme="minorHAnsi"/>
                <w:szCs w:val="20"/>
              </w:rPr>
              <w:t>January</w:t>
            </w:r>
            <w:r w:rsidRPr="00ED5C3A">
              <w:rPr>
                <w:rFonts w:cstheme="minorHAnsi"/>
                <w:szCs w:val="20"/>
              </w:rPr>
              <w:t xml:space="preserve"> 1, 201</w:t>
            </w:r>
            <w:r>
              <w:rPr>
                <w:rFonts w:cstheme="minorHAnsi"/>
                <w:szCs w:val="20"/>
              </w:rPr>
              <w:t>7</w:t>
            </w:r>
          </w:p>
        </w:tc>
      </w:tr>
      <w:tr w:rsidR="0060028B" w:rsidRPr="00397406" w14:paraId="320AFBEC" w14:textId="77777777" w:rsidTr="00036D91">
        <w:trPr>
          <w:trHeight w:val="243"/>
        </w:trPr>
        <w:tc>
          <w:tcPr>
            <w:tcW w:w="1854" w:type="dxa"/>
          </w:tcPr>
          <w:p w14:paraId="2FF940C0" w14:textId="77777777" w:rsidR="0060028B" w:rsidRPr="00FE32DD" w:rsidRDefault="0060028B" w:rsidP="0060028B">
            <w:pPr>
              <w:rPr>
                <w:rFonts w:cstheme="minorHAnsi"/>
                <w:szCs w:val="20"/>
              </w:rPr>
            </w:pPr>
            <w:r>
              <w:rPr>
                <w:rFonts w:cstheme="minorHAnsi"/>
                <w:szCs w:val="20"/>
              </w:rPr>
              <w:t>Code of Federal Regulations</w:t>
            </w:r>
          </w:p>
        </w:tc>
        <w:tc>
          <w:tcPr>
            <w:tcW w:w="4352" w:type="dxa"/>
          </w:tcPr>
          <w:p w14:paraId="0835C538" w14:textId="77777777" w:rsidR="0060028B" w:rsidRPr="00FE32DD" w:rsidRDefault="0060028B" w:rsidP="0060028B">
            <w:pPr>
              <w:rPr>
                <w:rFonts w:cstheme="minorHAnsi"/>
                <w:szCs w:val="20"/>
              </w:rPr>
            </w:pPr>
            <w:r>
              <w:rPr>
                <w:rFonts w:cstheme="minorHAnsi"/>
                <w:szCs w:val="20"/>
              </w:rPr>
              <w:t>10 CFR 430.32(d)</w:t>
            </w:r>
          </w:p>
        </w:tc>
        <w:tc>
          <w:tcPr>
            <w:tcW w:w="1821" w:type="dxa"/>
          </w:tcPr>
          <w:p w14:paraId="11DBA30E" w14:textId="77777777" w:rsidR="0060028B" w:rsidRPr="00FE32DD" w:rsidRDefault="006715E8" w:rsidP="0060028B">
            <w:pPr>
              <w:rPr>
                <w:rFonts w:cstheme="minorHAnsi"/>
                <w:szCs w:val="20"/>
              </w:rPr>
            </w:pPr>
            <w:r>
              <w:rPr>
                <w:rFonts w:cstheme="minorHAnsi"/>
                <w:szCs w:val="20"/>
              </w:rPr>
              <w:t>January 1</w:t>
            </w:r>
            <w:r w:rsidR="0060028B">
              <w:rPr>
                <w:rFonts w:cstheme="minorHAnsi"/>
                <w:szCs w:val="20"/>
              </w:rPr>
              <w:t xml:space="preserve">, </w:t>
            </w:r>
            <w:r>
              <w:rPr>
                <w:rFonts w:cstheme="minorHAnsi"/>
                <w:szCs w:val="20"/>
              </w:rPr>
              <w:t>2017</w:t>
            </w:r>
          </w:p>
        </w:tc>
      </w:tr>
    </w:tbl>
    <w:p w14:paraId="6A6F4A2C" w14:textId="77777777" w:rsidR="000F12BA" w:rsidRDefault="000F12BA" w:rsidP="000F12BA">
      <w:pPr>
        <w:keepNext/>
        <w:spacing w:before="240" w:after="60"/>
        <w:outlineLvl w:val="1"/>
        <w:rPr>
          <w:rFonts w:cstheme="minorHAnsi"/>
          <w:b/>
          <w:bCs/>
          <w:iCs/>
          <w:smallCaps/>
          <w:sz w:val="28"/>
          <w:szCs w:val="28"/>
        </w:rPr>
      </w:pPr>
      <w:bookmarkStart w:id="12" w:name="_Toc304800207"/>
      <w:bookmarkStart w:id="13" w:name="_Toc324318343"/>
      <w:bookmarkStart w:id="14" w:name="_Toc324340487"/>
      <w:bookmarkStart w:id="15" w:name="_Toc383441992"/>
      <w:bookmarkStart w:id="16" w:name="_Toc214003090"/>
      <w:r w:rsidRPr="000F12BA">
        <w:rPr>
          <w:rFonts w:cstheme="minorHAnsi"/>
          <w:b/>
          <w:bCs/>
          <w:iCs/>
          <w:smallCaps/>
          <w:sz w:val="28"/>
          <w:szCs w:val="28"/>
        </w:rPr>
        <w:t xml:space="preserve">1.5 EM&amp;V, Market Potential, and Other Studies – Base Case and Measure Case </w:t>
      </w:r>
    </w:p>
    <w:p w14:paraId="4A7D7817" w14:textId="77777777" w:rsidR="009837BA" w:rsidRDefault="009837BA" w:rsidP="009837BA">
      <w:pPr>
        <w:rPr>
          <w:rFonts w:cstheme="minorHAnsi"/>
        </w:rPr>
      </w:pPr>
      <w:r>
        <w:rPr>
          <w:rFonts w:cstheme="minorHAnsi"/>
        </w:rPr>
        <w:t xml:space="preserve">The CPUC’s Revised DEER 2017 + DEER 2018 updates webinar (Attachment 4) shows that the 2012 California Lighting and Appliance Saturation Survey (CLASS) data reveals electric storage water heaters </w:t>
      </w:r>
      <w:r>
        <w:rPr>
          <w:rFonts w:cstheme="minorHAnsi"/>
        </w:rPr>
        <w:lastRenderedPageBreak/>
        <w:t>are not typically installed at 60 and 75 gallon capacities. Because of this, DEER set the base case for these sizes to be Heat Pump Water Heaters with EF=3.0 as ISP, which was determined based on the EFs of lower efficiency HPWHs on the market.</w:t>
      </w:r>
    </w:p>
    <w:p w14:paraId="4A74D8BB" w14:textId="77777777" w:rsidR="000F12BA" w:rsidRPr="00245900" w:rsidRDefault="007A21B4" w:rsidP="000F12BA">
      <w:pPr>
        <w:keepNext/>
        <w:spacing w:before="240" w:after="60"/>
        <w:outlineLvl w:val="1"/>
        <w:rPr>
          <w:rFonts w:cstheme="minorHAnsi"/>
          <w:b/>
          <w:bCs/>
          <w:iCs/>
          <w:smallCaps/>
          <w:sz w:val="28"/>
          <w:szCs w:val="28"/>
        </w:rPr>
      </w:pPr>
      <w:r w:rsidRPr="007A21B4">
        <w:rPr>
          <w:rFonts w:cstheme="minorHAnsi"/>
          <w:b/>
          <w:bCs/>
          <w:iCs/>
          <w:smallCaps/>
          <w:sz w:val="28"/>
          <w:szCs w:val="28"/>
        </w:rPr>
        <w:t>1.5.1</w:t>
      </w:r>
      <w:r>
        <w:rPr>
          <w:rFonts w:cstheme="minorHAnsi"/>
          <w:b/>
          <w:bCs/>
          <w:iCs/>
          <w:smallCaps/>
          <w:sz w:val="28"/>
          <w:szCs w:val="28"/>
        </w:rPr>
        <w:t xml:space="preserve"> Non-DEER Study Review </w:t>
      </w:r>
      <w:bookmarkEnd w:id="12"/>
      <w:bookmarkEnd w:id="13"/>
      <w:bookmarkEnd w:id="14"/>
      <w:bookmarkEnd w:id="15"/>
    </w:p>
    <w:p w14:paraId="7FAB579F" w14:textId="77777777" w:rsidR="00A87969" w:rsidRDefault="00A87969" w:rsidP="00A87969">
      <w:pPr>
        <w:rPr>
          <w:rFonts w:cstheme="minorHAnsi"/>
        </w:rPr>
      </w:pPr>
      <w:r w:rsidRPr="00A87969">
        <w:rPr>
          <w:rFonts w:cstheme="minorHAnsi"/>
        </w:rPr>
        <w:t>For the residential application of this measure, data from the California Residential Saturation Survey (RASS</w:t>
      </w:r>
      <w:r w:rsidRPr="00A87969">
        <w:rPr>
          <w:rFonts w:cstheme="minorHAnsi"/>
        </w:rPr>
        <w:fldChar w:fldCharType="begin"/>
      </w:r>
      <w:r w:rsidRPr="00A87969">
        <w:rPr>
          <w:rFonts w:cstheme="minorHAnsi"/>
        </w:rPr>
        <w:instrText xml:space="preserve"> XE "RASS" </w:instrText>
      </w:r>
      <w:r w:rsidRPr="00A87969">
        <w:rPr>
          <w:rFonts w:cstheme="minorHAnsi"/>
        </w:rPr>
        <w:fldChar w:fldCharType="end"/>
      </w:r>
      <w:r w:rsidRPr="00A87969">
        <w:rPr>
          <w:rFonts w:cstheme="minorHAnsi"/>
        </w:rPr>
        <w:t>) [195] indicates that approximately 7.1% of residential dwellings in SCE territory use electricity for domestic water heating.</w:t>
      </w:r>
      <w:r w:rsidR="007F1E54">
        <w:rPr>
          <w:rFonts w:cstheme="minorHAnsi"/>
        </w:rPr>
        <w:t xml:space="preserve"> </w:t>
      </w:r>
    </w:p>
    <w:p w14:paraId="6B4D58DC" w14:textId="77777777" w:rsidR="00EC03BE" w:rsidRDefault="00EC03BE" w:rsidP="00A87969">
      <w:pPr>
        <w:rPr>
          <w:rFonts w:cstheme="minorHAnsi"/>
        </w:rPr>
      </w:pPr>
    </w:p>
    <w:p w14:paraId="1156D18E" w14:textId="77777777" w:rsidR="000F12BA" w:rsidRPr="000F12BA" w:rsidRDefault="000F12BA" w:rsidP="000F12BA">
      <w:pPr>
        <w:keepNext/>
        <w:spacing w:before="240" w:after="60"/>
        <w:outlineLvl w:val="1"/>
        <w:rPr>
          <w:rFonts w:cstheme="minorHAnsi"/>
          <w:b/>
          <w:bCs/>
          <w:iCs/>
          <w:smallCaps/>
          <w:sz w:val="28"/>
          <w:szCs w:val="28"/>
        </w:rPr>
      </w:pPr>
      <w:r w:rsidRPr="000F12BA">
        <w:rPr>
          <w:rFonts w:cstheme="minorHAnsi"/>
          <w:b/>
          <w:bCs/>
          <w:iCs/>
          <w:smallCaps/>
          <w:sz w:val="28"/>
          <w:szCs w:val="28"/>
        </w:rPr>
        <w:t>1.6 Data Quality and Future Data Needs</w:t>
      </w:r>
    </w:p>
    <w:p w14:paraId="50A5AF90" w14:textId="1409AC40" w:rsidR="00C524B6" w:rsidRPr="00C524B6" w:rsidRDefault="00C524B6" w:rsidP="00560934">
      <w:pPr>
        <w:pStyle w:val="Heading1"/>
        <w:keepNext w:val="0"/>
        <w:rPr>
          <w:b w:val="0"/>
          <w:smallCaps w:val="0"/>
          <w:sz w:val="22"/>
          <w:szCs w:val="22"/>
        </w:rPr>
      </w:pPr>
      <w:r w:rsidRPr="00C524B6">
        <w:rPr>
          <w:b w:val="0"/>
          <w:smallCaps w:val="0"/>
          <w:sz w:val="22"/>
          <w:szCs w:val="22"/>
        </w:rPr>
        <w:t xml:space="preserve">SCE’s proposed standard practice study, if approved by the CPUC, will investigate the existing customers’ operation of evaporative coolers, when installed in parallel to their existing DX cooling system. The Human Error Adjustment Factor (HEAF)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particular factor, the HEAF has been set at 75% until this proposed study yields a more conclusive value. This version of the </w:t>
      </w:r>
      <w:proofErr w:type="spellStart"/>
      <w:r w:rsidRPr="00C524B6">
        <w:rPr>
          <w:b w:val="0"/>
          <w:smallCaps w:val="0"/>
          <w:sz w:val="22"/>
          <w:szCs w:val="22"/>
        </w:rPr>
        <w:t>workpaper</w:t>
      </w:r>
      <w:proofErr w:type="spellEnd"/>
      <w:r w:rsidRPr="00C524B6">
        <w:rPr>
          <w:b w:val="0"/>
          <w:smallCaps w:val="0"/>
          <w:sz w:val="22"/>
          <w:szCs w:val="22"/>
        </w:rPr>
        <w:t xml:space="preserve"> assumes that up to 25% of the savings will be lost due to non-ideal operation of the evaporative cooler and DX system</w:t>
      </w:r>
      <w:r>
        <w:rPr>
          <w:b w:val="0"/>
          <w:smallCaps w:val="0"/>
          <w:sz w:val="22"/>
          <w:szCs w:val="22"/>
        </w:rPr>
        <w:t>.</w:t>
      </w:r>
    </w:p>
    <w:p w14:paraId="2A08D27B" w14:textId="7F4D0E56" w:rsidR="00E16609" w:rsidRPr="00397406" w:rsidRDefault="00E16609" w:rsidP="00560934">
      <w:pPr>
        <w:pStyle w:val="Heading1"/>
        <w:keepNext w:val="0"/>
        <w:rPr>
          <w:rFonts w:cstheme="minorHAnsi"/>
        </w:rPr>
      </w:pPr>
      <w:r w:rsidRPr="00397406">
        <w:rPr>
          <w:rFonts w:cstheme="minorHAnsi"/>
        </w:rPr>
        <w:t>Section 2</w:t>
      </w:r>
      <w:r w:rsidR="00AE1A15">
        <w:rPr>
          <w:rFonts w:cstheme="minorHAnsi"/>
        </w:rPr>
        <w:t>.</w:t>
      </w:r>
      <w:r w:rsidRPr="00397406">
        <w:rPr>
          <w:rFonts w:cstheme="minorHAnsi"/>
        </w:rPr>
        <w:t xml:space="preserve"> Calculation</w:t>
      </w:r>
      <w:bookmarkEnd w:id="16"/>
      <w:r w:rsidR="00755A45" w:rsidRPr="00397406">
        <w:rPr>
          <w:rFonts w:cstheme="minorHAnsi"/>
        </w:rPr>
        <w:t xml:space="preserve"> Methodology</w:t>
      </w:r>
    </w:p>
    <w:p w14:paraId="2F7F8363" w14:textId="77777777" w:rsidR="00A87969" w:rsidRDefault="000A6DDB" w:rsidP="00A87969">
      <w:pPr>
        <w:rPr>
          <w:szCs w:val="22"/>
        </w:rPr>
      </w:pPr>
      <w:r>
        <w:rPr>
          <w:szCs w:val="22"/>
        </w:rPr>
        <w:t xml:space="preserve">DEER </w:t>
      </w:r>
      <w:r w:rsidR="001B3A53">
        <w:rPr>
          <w:szCs w:val="22"/>
        </w:rPr>
        <w:t>2017</w:t>
      </w:r>
      <w:r w:rsidR="001B3A53" w:rsidRPr="00A87969">
        <w:rPr>
          <w:szCs w:val="22"/>
        </w:rPr>
        <w:t xml:space="preserve"> </w:t>
      </w:r>
      <w:r w:rsidR="00A87969" w:rsidRPr="00A87969">
        <w:rPr>
          <w:szCs w:val="22"/>
        </w:rPr>
        <w:t>has measure</w:t>
      </w:r>
      <w:r w:rsidR="001B3A53">
        <w:rPr>
          <w:szCs w:val="22"/>
        </w:rPr>
        <w:t>s</w:t>
      </w:r>
      <w:r w:rsidR="00A87969" w:rsidRPr="00A87969">
        <w:rPr>
          <w:szCs w:val="22"/>
        </w:rPr>
        <w:t xml:space="preserve"> which replace an ESW</w:t>
      </w:r>
      <w:r>
        <w:rPr>
          <w:szCs w:val="22"/>
        </w:rPr>
        <w:t xml:space="preserve">H </w:t>
      </w:r>
      <w:r w:rsidR="00A87969" w:rsidRPr="00A87969">
        <w:rPr>
          <w:szCs w:val="22"/>
        </w:rPr>
        <w:t>with a HPWH (</w:t>
      </w:r>
      <w:r w:rsidR="000A7181">
        <w:rPr>
          <w:szCs w:val="22"/>
        </w:rPr>
        <w:t>U</w:t>
      </w:r>
      <w:r w:rsidR="00A87969" w:rsidRPr="00A87969">
        <w:rPr>
          <w:szCs w:val="22"/>
        </w:rPr>
        <w:t xml:space="preserve">EF = </w:t>
      </w:r>
      <w:r w:rsidR="001B3A53">
        <w:rPr>
          <w:szCs w:val="22"/>
        </w:rPr>
        <w:t>3.</w:t>
      </w:r>
      <w:r w:rsidR="000A7181">
        <w:rPr>
          <w:szCs w:val="22"/>
        </w:rPr>
        <w:t>09</w:t>
      </w:r>
      <w:r w:rsidR="001B3A53">
        <w:rPr>
          <w:szCs w:val="22"/>
        </w:rPr>
        <w:t xml:space="preserve"> or greater</w:t>
      </w:r>
      <w:r w:rsidR="00A87969" w:rsidRPr="00A87969">
        <w:rPr>
          <w:szCs w:val="22"/>
        </w:rPr>
        <w:t>).</w:t>
      </w:r>
      <w:r w:rsidR="00D035F7">
        <w:rPr>
          <w:szCs w:val="22"/>
        </w:rPr>
        <w:t xml:space="preserve">  The new code efficiency formula </w:t>
      </w:r>
      <w:r w:rsidR="00EA5452">
        <w:rPr>
          <w:szCs w:val="22"/>
        </w:rPr>
        <w:t>for</w:t>
      </w:r>
      <w:r w:rsidR="00D035F7">
        <w:rPr>
          <w:szCs w:val="22"/>
        </w:rPr>
        <w:t xml:space="preserve"> a</w:t>
      </w:r>
      <w:r w:rsidR="001B3A53">
        <w:rPr>
          <w:szCs w:val="22"/>
        </w:rPr>
        <w:t>n</w:t>
      </w:r>
      <w:r w:rsidR="00D035F7">
        <w:rPr>
          <w:szCs w:val="22"/>
        </w:rPr>
        <w:t xml:space="preserve"> ESWH was used to determine the base case efficiency</w:t>
      </w:r>
      <w:r w:rsidR="001B3A53">
        <w:rPr>
          <w:szCs w:val="22"/>
        </w:rPr>
        <w:t>. The following example uses a 40 gallon tank:</w:t>
      </w:r>
    </w:p>
    <w:p w14:paraId="49E04A7A" w14:textId="77777777" w:rsidR="00D035F7" w:rsidRDefault="00D035F7" w:rsidP="00A87969">
      <w:pPr>
        <w:rPr>
          <w:szCs w:val="22"/>
        </w:rPr>
      </w:pPr>
    </w:p>
    <w:p w14:paraId="3C95F82C" w14:textId="77777777" w:rsidR="00EA5452" w:rsidRDefault="00EA5452" w:rsidP="00E47B18">
      <w:pPr>
        <w:ind w:left="2160" w:firstLine="720"/>
        <w:rPr>
          <w:szCs w:val="22"/>
        </w:rPr>
      </w:pPr>
      <w:r>
        <w:rPr>
          <w:szCs w:val="22"/>
        </w:rPr>
        <w:t xml:space="preserve">EF = </w:t>
      </w:r>
      <w:r w:rsidRPr="00EA5452">
        <w:rPr>
          <w:szCs w:val="22"/>
        </w:rPr>
        <w:t>0.960-(0.0003x</w:t>
      </w:r>
      <w:r>
        <w:rPr>
          <w:szCs w:val="22"/>
        </w:rPr>
        <w:t>V) where V= volume, gal</w:t>
      </w:r>
    </w:p>
    <w:p w14:paraId="605E7F42" w14:textId="77777777" w:rsidR="00D035F7" w:rsidRDefault="00EA5452" w:rsidP="00E47B18">
      <w:pPr>
        <w:ind w:left="2160" w:firstLine="720"/>
        <w:rPr>
          <w:szCs w:val="22"/>
        </w:rPr>
      </w:pPr>
      <w:r>
        <w:rPr>
          <w:szCs w:val="22"/>
        </w:rPr>
        <w:t xml:space="preserve">EF = </w:t>
      </w:r>
      <w:r w:rsidR="00D035F7" w:rsidRPr="00D035F7">
        <w:rPr>
          <w:szCs w:val="22"/>
        </w:rPr>
        <w:t>0.960-(0.0003x40)</w:t>
      </w:r>
      <w:r>
        <w:rPr>
          <w:szCs w:val="22"/>
        </w:rPr>
        <w:t xml:space="preserve"> </w:t>
      </w:r>
      <w:r w:rsidR="00D035F7" w:rsidRPr="00D035F7">
        <w:rPr>
          <w:szCs w:val="22"/>
        </w:rPr>
        <w:t>=</w:t>
      </w:r>
      <w:r>
        <w:rPr>
          <w:szCs w:val="22"/>
        </w:rPr>
        <w:t xml:space="preserve"> </w:t>
      </w:r>
      <w:r w:rsidR="00D035F7" w:rsidRPr="00D035F7">
        <w:rPr>
          <w:szCs w:val="22"/>
        </w:rPr>
        <w:t>0.948</w:t>
      </w:r>
    </w:p>
    <w:p w14:paraId="2444E790" w14:textId="77777777" w:rsidR="000A7181" w:rsidRDefault="000A7181" w:rsidP="004D486C">
      <w:pPr>
        <w:rPr>
          <w:szCs w:val="22"/>
        </w:rPr>
      </w:pPr>
    </w:p>
    <w:p w14:paraId="027437F6" w14:textId="77777777" w:rsidR="000A7181" w:rsidRDefault="000A7181" w:rsidP="004D486C">
      <w:pPr>
        <w:rPr>
          <w:szCs w:val="22"/>
        </w:rPr>
      </w:pPr>
      <w:r>
        <w:rPr>
          <w:szCs w:val="22"/>
        </w:rPr>
        <w:t>The EF is then converted to the UEF, using the following equations:</w:t>
      </w:r>
    </w:p>
    <w:p w14:paraId="3F939822" w14:textId="77777777" w:rsidR="000A7181" w:rsidRDefault="000A7181" w:rsidP="004D486C">
      <w:pPr>
        <w:rPr>
          <w:szCs w:val="22"/>
        </w:rPr>
      </w:pPr>
    </w:p>
    <w:p w14:paraId="1C4019F0" w14:textId="77777777" w:rsidR="00C844AD" w:rsidRDefault="000A7181" w:rsidP="000A7181">
      <w:pPr>
        <w:tabs>
          <w:tab w:val="left" w:pos="1820"/>
        </w:tabs>
        <w:rPr>
          <w:szCs w:val="22"/>
        </w:rPr>
      </w:pPr>
      <w:r>
        <w:rPr>
          <w:szCs w:val="22"/>
        </w:rPr>
        <w:t>For Heat Pump Water Heaters</w:t>
      </w:r>
      <w:r w:rsidR="00C844AD">
        <w:rPr>
          <w:szCs w:val="22"/>
        </w:rPr>
        <w:t xml:space="preserve">: </w:t>
      </w:r>
    </w:p>
    <w:p w14:paraId="622FBE8A" w14:textId="77777777" w:rsidR="005D0414" w:rsidRDefault="005D0414" w:rsidP="000A7181">
      <w:pPr>
        <w:tabs>
          <w:tab w:val="left" w:pos="1820"/>
        </w:tabs>
        <w:rPr>
          <w:szCs w:val="22"/>
        </w:rPr>
      </w:pPr>
    </w:p>
    <w:p w14:paraId="5CAD905E" w14:textId="77777777" w:rsidR="000A7181" w:rsidRDefault="005D0414" w:rsidP="000A7181">
      <w:pPr>
        <w:tabs>
          <w:tab w:val="left" w:pos="1820"/>
        </w:tabs>
        <w:rPr>
          <w:szCs w:val="22"/>
        </w:rPr>
      </w:pPr>
      <w:r>
        <w:rPr>
          <w:szCs w:val="22"/>
        </w:rPr>
        <w:tab/>
      </w:r>
      <w:r>
        <w:rPr>
          <w:szCs w:val="22"/>
        </w:rPr>
        <w:tab/>
      </w:r>
      <w:r>
        <w:rPr>
          <w:szCs w:val="22"/>
        </w:rPr>
        <w:tab/>
      </w:r>
      <w:r w:rsidR="000A7181" w:rsidRPr="004D1ED6">
        <w:rPr>
          <w:szCs w:val="22"/>
        </w:rPr>
        <w:t>NEW UEF = 0.1513 + 0.8407 x EF + 0.0043*DV</w:t>
      </w:r>
    </w:p>
    <w:p w14:paraId="098856FE" w14:textId="77777777" w:rsidR="00C844AD" w:rsidRDefault="00C844AD" w:rsidP="000A7181">
      <w:pPr>
        <w:tabs>
          <w:tab w:val="left" w:pos="1820"/>
        </w:tabs>
        <w:rPr>
          <w:szCs w:val="22"/>
        </w:rPr>
      </w:pPr>
    </w:p>
    <w:p w14:paraId="4E7E16E1" w14:textId="77777777" w:rsidR="005D0414" w:rsidRDefault="000A7181" w:rsidP="000A7181">
      <w:pPr>
        <w:tabs>
          <w:tab w:val="left" w:pos="1820"/>
        </w:tabs>
        <w:rPr>
          <w:szCs w:val="22"/>
        </w:rPr>
      </w:pPr>
      <w:r>
        <w:rPr>
          <w:szCs w:val="22"/>
        </w:rPr>
        <w:t>For Electric Storage Water Heaters</w:t>
      </w:r>
      <w:r w:rsidR="005D0414">
        <w:rPr>
          <w:szCs w:val="22"/>
        </w:rPr>
        <w:t>:</w:t>
      </w:r>
    </w:p>
    <w:p w14:paraId="56408FF3" w14:textId="77777777" w:rsidR="005D0414" w:rsidRDefault="000A7181" w:rsidP="000A7181">
      <w:pPr>
        <w:tabs>
          <w:tab w:val="left" w:pos="1820"/>
        </w:tabs>
        <w:rPr>
          <w:szCs w:val="22"/>
        </w:rPr>
      </w:pPr>
      <w:r>
        <w:rPr>
          <w:szCs w:val="22"/>
        </w:rPr>
        <w:t xml:space="preserve"> </w:t>
      </w:r>
    </w:p>
    <w:p w14:paraId="05DF51CB" w14:textId="77777777" w:rsidR="000A7181" w:rsidRDefault="005D0414" w:rsidP="000A7181">
      <w:pPr>
        <w:tabs>
          <w:tab w:val="left" w:pos="1820"/>
        </w:tabs>
        <w:rPr>
          <w:szCs w:val="22"/>
          <w:vertAlign w:val="subscript"/>
        </w:rPr>
      </w:pPr>
      <w:r>
        <w:rPr>
          <w:szCs w:val="22"/>
        </w:rPr>
        <w:tab/>
      </w:r>
      <w:r>
        <w:rPr>
          <w:szCs w:val="22"/>
        </w:rPr>
        <w:tab/>
      </w:r>
      <w:r>
        <w:rPr>
          <w:szCs w:val="22"/>
        </w:rPr>
        <w:tab/>
      </w:r>
      <w:r w:rsidR="000A7181" w:rsidRPr="004D1ED6">
        <w:rPr>
          <w:szCs w:val="22"/>
        </w:rPr>
        <w:t>NEW UEF = 0.</w:t>
      </w:r>
      <w:r w:rsidR="000A7181">
        <w:rPr>
          <w:szCs w:val="22"/>
        </w:rPr>
        <w:t>4774</w:t>
      </w:r>
      <w:r w:rsidR="000A7181" w:rsidRPr="004D1ED6">
        <w:rPr>
          <w:szCs w:val="22"/>
        </w:rPr>
        <w:t xml:space="preserve"> + 0.</w:t>
      </w:r>
      <w:r w:rsidR="000A7181">
        <w:rPr>
          <w:szCs w:val="22"/>
        </w:rPr>
        <w:t>4740</w:t>
      </w:r>
      <w:r w:rsidR="000A7181" w:rsidRPr="004D1ED6">
        <w:rPr>
          <w:szCs w:val="22"/>
        </w:rPr>
        <w:t xml:space="preserve"> x </w:t>
      </w:r>
      <w:r w:rsidR="000A7181">
        <w:rPr>
          <w:szCs w:val="22"/>
        </w:rPr>
        <w:t>UEF</w:t>
      </w:r>
      <w:r w:rsidR="000A7181">
        <w:rPr>
          <w:szCs w:val="22"/>
          <w:vertAlign w:val="subscript"/>
        </w:rPr>
        <w:t>WHAM</w:t>
      </w:r>
    </w:p>
    <w:p w14:paraId="63519D87" w14:textId="77777777" w:rsidR="005D0414" w:rsidRDefault="005D0414" w:rsidP="000A7181">
      <w:pPr>
        <w:tabs>
          <w:tab w:val="left" w:pos="1820"/>
        </w:tabs>
        <w:rPr>
          <w:szCs w:val="22"/>
        </w:rPr>
      </w:pPr>
    </w:p>
    <w:p w14:paraId="4D153A81" w14:textId="77777777" w:rsidR="000A7181" w:rsidRPr="00A87969" w:rsidRDefault="000A7181" w:rsidP="004D486C">
      <w:pPr>
        <w:tabs>
          <w:tab w:val="left" w:pos="1820"/>
        </w:tabs>
        <w:rPr>
          <w:szCs w:val="22"/>
        </w:rPr>
      </w:pPr>
      <w:r>
        <w:rPr>
          <w:szCs w:val="22"/>
        </w:rPr>
        <w:t>Where UEF</w:t>
      </w:r>
      <w:r>
        <w:rPr>
          <w:szCs w:val="22"/>
          <w:vertAlign w:val="subscript"/>
        </w:rPr>
        <w:t>WHAM</w:t>
      </w:r>
      <w:r>
        <w:rPr>
          <w:szCs w:val="22"/>
        </w:rPr>
        <w:t xml:space="preserve"> is a coefficient determined based on EF, efficiency, and the draw pattern.</w:t>
      </w:r>
    </w:p>
    <w:p w14:paraId="4272475F" w14:textId="77777777" w:rsidR="00A87969" w:rsidRPr="00A87969" w:rsidRDefault="00A87969" w:rsidP="00A87969">
      <w:pPr>
        <w:rPr>
          <w:szCs w:val="22"/>
        </w:rPr>
      </w:pPr>
    </w:p>
    <w:p w14:paraId="3528DF8E" w14:textId="77777777" w:rsidR="00605FC6" w:rsidRPr="00605FC6" w:rsidRDefault="00A87969" w:rsidP="00DD712C">
      <w:pPr>
        <w:rPr>
          <w:rFonts w:cstheme="minorHAnsi"/>
          <w:szCs w:val="22"/>
        </w:rPr>
      </w:pPr>
      <w:r w:rsidRPr="00A87969">
        <w:rPr>
          <w:szCs w:val="22"/>
        </w:rPr>
        <w:t xml:space="preserve">Energy savings are determined by comparing the annual energy usage of a </w:t>
      </w:r>
      <w:r w:rsidR="00605FC6">
        <w:rPr>
          <w:szCs w:val="22"/>
        </w:rPr>
        <w:t xml:space="preserve">heat pump water heater </w:t>
      </w:r>
      <w:r w:rsidRPr="00A87969">
        <w:rPr>
          <w:szCs w:val="22"/>
        </w:rPr>
        <w:t>HPWH (</w:t>
      </w:r>
      <w:r w:rsidR="000A7181">
        <w:rPr>
          <w:szCs w:val="22"/>
        </w:rPr>
        <w:t>U</w:t>
      </w:r>
      <w:r w:rsidRPr="00A87969">
        <w:rPr>
          <w:szCs w:val="22"/>
        </w:rPr>
        <w:t>E</w:t>
      </w:r>
      <w:r w:rsidR="00605FC6">
        <w:rPr>
          <w:szCs w:val="22"/>
        </w:rPr>
        <w:t xml:space="preserve">F = </w:t>
      </w:r>
      <w:r w:rsidR="000A7181">
        <w:rPr>
          <w:szCs w:val="22"/>
        </w:rPr>
        <w:t>3.09</w:t>
      </w:r>
      <w:r w:rsidR="001B3A53">
        <w:rPr>
          <w:szCs w:val="22"/>
        </w:rPr>
        <w:t xml:space="preserve"> or greater</w:t>
      </w:r>
      <w:r w:rsidR="00605FC6">
        <w:rPr>
          <w:szCs w:val="22"/>
        </w:rPr>
        <w:t xml:space="preserve">) with an ESWH </w:t>
      </w:r>
      <w:r w:rsidRPr="00A87969">
        <w:rPr>
          <w:szCs w:val="22"/>
        </w:rPr>
        <w:t xml:space="preserve">base case electric storage water heater. </w:t>
      </w:r>
      <w:bookmarkStart w:id="17" w:name="_Toc214003093"/>
      <w:r w:rsidR="00DD712C">
        <w:rPr>
          <w:szCs w:val="22"/>
        </w:rPr>
        <w:t xml:space="preserve"> </w:t>
      </w:r>
      <w:r w:rsidR="009837BA">
        <w:rPr>
          <w:szCs w:val="22"/>
        </w:rPr>
        <w:t>Baseline and proposed efficiencies vary by storage capacity</w:t>
      </w:r>
      <w:r w:rsidR="003B6B08">
        <w:rPr>
          <w:szCs w:val="22"/>
        </w:rPr>
        <w:t xml:space="preserve"> (Attachment 4)</w:t>
      </w:r>
      <w:r w:rsidR="009837BA">
        <w:rPr>
          <w:szCs w:val="22"/>
        </w:rPr>
        <w:t>.</w:t>
      </w:r>
      <w:r w:rsidR="009837BA" w:rsidRPr="00605FC6">
        <w:rPr>
          <w:rFonts w:cstheme="minorHAnsi"/>
          <w:szCs w:val="22"/>
        </w:rPr>
        <w:t xml:space="preserve"> </w:t>
      </w:r>
      <w:r w:rsidR="00605FC6" w:rsidRPr="00605FC6">
        <w:rPr>
          <w:rFonts w:cstheme="minorHAnsi"/>
          <w:szCs w:val="22"/>
        </w:rPr>
        <w:t xml:space="preserve">Savings values were taken </w:t>
      </w:r>
      <w:r w:rsidR="00DD712C">
        <w:rPr>
          <w:rFonts w:cstheme="minorHAnsi"/>
          <w:szCs w:val="22"/>
        </w:rPr>
        <w:t xml:space="preserve">directly </w:t>
      </w:r>
      <w:r w:rsidR="00605FC6" w:rsidRPr="00605FC6">
        <w:rPr>
          <w:rFonts w:cstheme="minorHAnsi"/>
          <w:szCs w:val="22"/>
        </w:rPr>
        <w:t xml:space="preserve">from DEER </w:t>
      </w:r>
      <w:r w:rsidR="001B3A53" w:rsidRPr="00605FC6">
        <w:rPr>
          <w:rFonts w:cstheme="minorHAnsi"/>
          <w:szCs w:val="22"/>
        </w:rPr>
        <w:t>201</w:t>
      </w:r>
      <w:r w:rsidR="001B3A53">
        <w:rPr>
          <w:rFonts w:cstheme="minorHAnsi"/>
          <w:szCs w:val="22"/>
        </w:rPr>
        <w:t xml:space="preserve">7 </w:t>
      </w:r>
      <w:r w:rsidR="00DA64D2">
        <w:rPr>
          <w:rFonts w:cstheme="minorHAnsi"/>
          <w:szCs w:val="22"/>
        </w:rPr>
        <w:t xml:space="preserve">[49] </w:t>
      </w:r>
      <w:r w:rsidR="00DD712C">
        <w:rPr>
          <w:rFonts w:cstheme="minorHAnsi"/>
          <w:szCs w:val="22"/>
        </w:rPr>
        <w:t xml:space="preserve">using the </w:t>
      </w:r>
      <w:r w:rsidR="000343F3">
        <w:rPr>
          <w:rFonts w:cstheme="minorHAnsi"/>
          <w:szCs w:val="22"/>
        </w:rPr>
        <w:t>READI</w:t>
      </w:r>
      <w:r w:rsidR="00DD712C" w:rsidRPr="00605FC6">
        <w:rPr>
          <w:rFonts w:cstheme="minorHAnsi"/>
          <w:szCs w:val="22"/>
        </w:rPr>
        <w:t xml:space="preserve"> Tool</w:t>
      </w:r>
      <w:r w:rsidR="00DD712C">
        <w:rPr>
          <w:rFonts w:cstheme="minorHAnsi"/>
          <w:szCs w:val="22"/>
        </w:rPr>
        <w:t xml:space="preserve"> </w:t>
      </w:r>
      <w:r w:rsidR="000343F3">
        <w:rPr>
          <w:rFonts w:cstheme="minorHAnsi"/>
          <w:szCs w:val="22"/>
        </w:rPr>
        <w:t>v2</w:t>
      </w:r>
      <w:r w:rsidR="006715E8">
        <w:rPr>
          <w:rFonts w:cstheme="minorHAnsi"/>
          <w:szCs w:val="22"/>
        </w:rPr>
        <w:t>.5.1</w:t>
      </w:r>
      <w:r w:rsidR="001B3A53">
        <w:rPr>
          <w:rFonts w:cstheme="minorHAnsi"/>
          <w:szCs w:val="22"/>
        </w:rPr>
        <w:t xml:space="preserve"> </w:t>
      </w:r>
      <w:r w:rsidR="00DD712C">
        <w:rPr>
          <w:rFonts w:cstheme="minorHAnsi"/>
          <w:szCs w:val="22"/>
        </w:rPr>
        <w:t>and are included</w:t>
      </w:r>
      <w:r w:rsidR="00605FC6" w:rsidRPr="00605FC6">
        <w:rPr>
          <w:rFonts w:cstheme="minorHAnsi"/>
          <w:szCs w:val="22"/>
        </w:rPr>
        <w:t xml:space="preserve"> </w:t>
      </w:r>
      <w:r w:rsidR="001B3A53">
        <w:rPr>
          <w:rFonts w:cstheme="minorHAnsi"/>
          <w:szCs w:val="22"/>
        </w:rPr>
        <w:t>in the table</w:t>
      </w:r>
      <w:r w:rsidR="00605FC6" w:rsidRPr="00605FC6">
        <w:rPr>
          <w:rFonts w:cstheme="minorHAnsi"/>
          <w:szCs w:val="22"/>
        </w:rPr>
        <w:t xml:space="preserve"> </w:t>
      </w:r>
      <w:r w:rsidR="00DD712C">
        <w:rPr>
          <w:rFonts w:cstheme="minorHAnsi"/>
          <w:szCs w:val="22"/>
        </w:rPr>
        <w:t xml:space="preserve">below. </w:t>
      </w:r>
      <w:r w:rsidR="00605FC6" w:rsidRPr="00605FC6">
        <w:rPr>
          <w:rFonts w:cstheme="minorHAnsi"/>
          <w:szCs w:val="22"/>
        </w:rPr>
        <w:t xml:space="preserve"> These results have not </w:t>
      </w:r>
      <w:r w:rsidR="00605FC6" w:rsidRPr="00605FC6">
        <w:rPr>
          <w:rFonts w:cstheme="minorHAnsi"/>
          <w:szCs w:val="22"/>
        </w:rPr>
        <w:lastRenderedPageBreak/>
        <w:t>been modified and are only being included in the work</w:t>
      </w:r>
      <w:r w:rsidR="00EC03BE">
        <w:rPr>
          <w:rFonts w:cstheme="minorHAnsi"/>
          <w:szCs w:val="22"/>
        </w:rPr>
        <w:t xml:space="preserve"> </w:t>
      </w:r>
      <w:r w:rsidR="00605FC6" w:rsidRPr="00605FC6">
        <w:rPr>
          <w:rFonts w:cstheme="minorHAnsi"/>
          <w:szCs w:val="22"/>
        </w:rPr>
        <w:t xml:space="preserve">paper for reference. </w:t>
      </w:r>
      <w:r w:rsidR="009837BA">
        <w:rPr>
          <w:rFonts w:cstheme="minorHAnsi"/>
          <w:szCs w:val="22"/>
        </w:rPr>
        <w:t>All 16 California Climate Zones are included.</w:t>
      </w:r>
    </w:p>
    <w:p w14:paraId="7C150E78" w14:textId="77777777" w:rsidR="00605FC6" w:rsidRPr="00605FC6" w:rsidRDefault="00605FC6" w:rsidP="00605FC6">
      <w:pPr>
        <w:rPr>
          <w:rFonts w:cstheme="minorHAnsi"/>
          <w:color w:val="FF0000"/>
          <w:szCs w:val="22"/>
        </w:rPr>
      </w:pPr>
    </w:p>
    <w:p w14:paraId="4ED90129" w14:textId="77777777" w:rsidR="00605FC6" w:rsidRPr="00605FC6" w:rsidRDefault="00605FC6" w:rsidP="000F12BA">
      <w:pPr>
        <w:keepNext/>
        <w:rPr>
          <w:rFonts w:cstheme="minorHAnsi"/>
          <w:b/>
          <w:bCs/>
          <w:szCs w:val="22"/>
        </w:rPr>
      </w:pPr>
      <w:r w:rsidRPr="00605FC6">
        <w:rPr>
          <w:rFonts w:cstheme="minorHAnsi"/>
          <w:b/>
          <w:bCs/>
          <w:szCs w:val="22"/>
        </w:rPr>
        <w:t xml:space="preserve">DEER and </w:t>
      </w:r>
      <w:proofErr w:type="spellStart"/>
      <w:r w:rsidRPr="00605FC6">
        <w:rPr>
          <w:rFonts w:cstheme="minorHAnsi"/>
          <w:b/>
          <w:bCs/>
          <w:szCs w:val="22"/>
        </w:rPr>
        <w:t>READi</w:t>
      </w:r>
      <w:proofErr w:type="spellEnd"/>
      <w:r w:rsidRPr="00605FC6">
        <w:rPr>
          <w:rFonts w:cstheme="minorHAnsi"/>
          <w:b/>
          <w:bCs/>
          <w:szCs w:val="22"/>
        </w:rPr>
        <w:t xml:space="preserve"> Tool Outputs</w:t>
      </w:r>
    </w:p>
    <w:tbl>
      <w:tblPr>
        <w:tblStyle w:val="TableGrid11"/>
        <w:tblW w:w="5000" w:type="pct"/>
        <w:tblLayout w:type="fixed"/>
        <w:tblLook w:val="01E0" w:firstRow="1" w:lastRow="1" w:firstColumn="1" w:lastColumn="1" w:noHBand="0" w:noVBand="0"/>
      </w:tblPr>
      <w:tblGrid>
        <w:gridCol w:w="1088"/>
        <w:gridCol w:w="2596"/>
        <w:gridCol w:w="3871"/>
        <w:gridCol w:w="1795"/>
      </w:tblGrid>
      <w:tr w:rsidR="009837BA" w:rsidRPr="00605FC6" w14:paraId="67FE1100" w14:textId="77777777" w:rsidTr="00463BD4">
        <w:tc>
          <w:tcPr>
            <w:tcW w:w="582" w:type="pct"/>
            <w:shd w:val="clear" w:color="auto" w:fill="D9D9D9" w:themeFill="background1" w:themeFillShade="D9"/>
          </w:tcPr>
          <w:p w14:paraId="760E6D90" w14:textId="77777777" w:rsidR="009837BA" w:rsidRPr="007E6EBC" w:rsidRDefault="009837BA" w:rsidP="000F12BA">
            <w:pPr>
              <w:rPr>
                <w:rFonts w:cstheme="minorHAnsi"/>
                <w:b/>
                <w:szCs w:val="20"/>
                <w:highlight w:val="yellow"/>
              </w:rPr>
            </w:pPr>
            <w:r>
              <w:rPr>
                <w:rFonts w:cstheme="minorHAnsi"/>
                <w:b/>
                <w:szCs w:val="20"/>
              </w:rPr>
              <w:t xml:space="preserve">Measure </w:t>
            </w:r>
            <w:r w:rsidRPr="007E6EBC">
              <w:rPr>
                <w:rFonts w:cstheme="minorHAnsi"/>
                <w:b/>
                <w:szCs w:val="20"/>
              </w:rPr>
              <w:t>Code</w:t>
            </w:r>
          </w:p>
        </w:tc>
        <w:tc>
          <w:tcPr>
            <w:tcW w:w="1388" w:type="pct"/>
            <w:shd w:val="clear" w:color="auto" w:fill="D9D9D9" w:themeFill="background1" w:themeFillShade="D9"/>
          </w:tcPr>
          <w:p w14:paraId="228E2E31" w14:textId="77777777" w:rsidR="009837BA" w:rsidRPr="007E6EBC" w:rsidRDefault="009837BA" w:rsidP="000F12BA">
            <w:pPr>
              <w:rPr>
                <w:rFonts w:cstheme="minorHAnsi"/>
                <w:b/>
                <w:szCs w:val="20"/>
              </w:rPr>
            </w:pPr>
            <w:r>
              <w:rPr>
                <w:rFonts w:cstheme="minorHAnsi"/>
                <w:b/>
                <w:szCs w:val="20"/>
              </w:rPr>
              <w:t>DEER IDs</w:t>
            </w:r>
          </w:p>
        </w:tc>
        <w:tc>
          <w:tcPr>
            <w:tcW w:w="2070" w:type="pct"/>
            <w:shd w:val="clear" w:color="auto" w:fill="D9D9D9" w:themeFill="background1" w:themeFillShade="D9"/>
          </w:tcPr>
          <w:p w14:paraId="438ED176" w14:textId="77777777" w:rsidR="009837BA" w:rsidRPr="007E6EBC" w:rsidRDefault="009837BA" w:rsidP="000F12BA">
            <w:pPr>
              <w:rPr>
                <w:rFonts w:cstheme="minorHAnsi"/>
                <w:b/>
                <w:szCs w:val="20"/>
              </w:rPr>
            </w:pPr>
            <w:r w:rsidRPr="007E6EBC">
              <w:rPr>
                <w:rFonts w:cstheme="minorHAnsi"/>
                <w:b/>
                <w:szCs w:val="20"/>
              </w:rPr>
              <w:t>Measure Name</w:t>
            </w:r>
          </w:p>
        </w:tc>
        <w:tc>
          <w:tcPr>
            <w:tcW w:w="960" w:type="pct"/>
            <w:shd w:val="clear" w:color="auto" w:fill="D9D9D9" w:themeFill="background1" w:themeFillShade="D9"/>
          </w:tcPr>
          <w:p w14:paraId="59067687" w14:textId="77777777" w:rsidR="009837BA" w:rsidRPr="007E6EBC" w:rsidRDefault="009837BA" w:rsidP="00605FC6">
            <w:pPr>
              <w:jc w:val="center"/>
              <w:rPr>
                <w:rFonts w:cstheme="minorHAnsi"/>
                <w:b/>
                <w:szCs w:val="20"/>
                <w:highlight w:val="yellow"/>
              </w:rPr>
            </w:pPr>
            <w:r>
              <w:rPr>
                <w:rFonts w:cstheme="minorHAnsi"/>
                <w:b/>
                <w:szCs w:val="20"/>
              </w:rPr>
              <w:t>READI Data</w:t>
            </w:r>
          </w:p>
        </w:tc>
      </w:tr>
      <w:tr w:rsidR="00F81634" w:rsidRPr="00605FC6" w14:paraId="36F71E69" w14:textId="77777777" w:rsidTr="00463BD4">
        <w:tc>
          <w:tcPr>
            <w:tcW w:w="582" w:type="pct"/>
          </w:tcPr>
          <w:p w14:paraId="18DF25CA" w14:textId="77777777" w:rsidR="00F81634" w:rsidRPr="00605FC6" w:rsidRDefault="00F81634" w:rsidP="00F81634">
            <w:pPr>
              <w:rPr>
                <w:rFonts w:cstheme="minorHAnsi"/>
                <w:szCs w:val="20"/>
              </w:rPr>
            </w:pPr>
            <w:r w:rsidRPr="007E6EBC">
              <w:rPr>
                <w:rFonts w:cstheme="minorHAnsi"/>
                <w:szCs w:val="20"/>
              </w:rPr>
              <w:t>WH-1</w:t>
            </w:r>
            <w:r>
              <w:rPr>
                <w:rFonts w:cstheme="minorHAnsi"/>
                <w:szCs w:val="20"/>
              </w:rPr>
              <w:t xml:space="preserve">9955 </w:t>
            </w:r>
          </w:p>
        </w:tc>
        <w:tc>
          <w:tcPr>
            <w:tcW w:w="1388" w:type="pct"/>
          </w:tcPr>
          <w:p w14:paraId="43B9625E" w14:textId="77777777" w:rsidR="00F81634" w:rsidRDefault="00F81634" w:rsidP="00F81634">
            <w:pPr>
              <w:rPr>
                <w:rFonts w:ascii="Calibri" w:hAnsi="Calibri" w:cs="Arial"/>
                <w:color w:val="000000"/>
                <w:szCs w:val="20"/>
              </w:rPr>
            </w:pPr>
            <w:r w:rsidRPr="00597657">
              <w:rPr>
                <w:rFonts w:ascii="Calibri" w:hAnsi="Calibri" w:cs="Arial"/>
                <w:color w:val="000000"/>
                <w:szCs w:val="20"/>
              </w:rPr>
              <w:t>RE-WtrHt-SmlStrg-HP-lte12kW-rep30G-3p24EF</w:t>
            </w:r>
          </w:p>
        </w:tc>
        <w:tc>
          <w:tcPr>
            <w:tcW w:w="2070" w:type="pct"/>
          </w:tcPr>
          <w:p w14:paraId="1932B98B" w14:textId="66646A49" w:rsidR="00F81634" w:rsidRPr="00605FC6" w:rsidRDefault="00F81634">
            <w:pPr>
              <w:jc w:val="center"/>
              <w:rPr>
                <w:rFonts w:cstheme="minorHAnsi"/>
                <w:szCs w:val="20"/>
              </w:rPr>
            </w:pPr>
            <w:r w:rsidRPr="00451458">
              <w:t xml:space="preserve">Efficient water heater: </w:t>
            </w:r>
            <w:r>
              <w:t xml:space="preserve">50 to </w:t>
            </w:r>
            <w:r w:rsidRPr="00451458">
              <w:t>55 gallon HP Elec (</w:t>
            </w:r>
            <w:r>
              <w:t>U</w:t>
            </w:r>
            <w:r w:rsidRPr="00451458">
              <w:t>EF=3.</w:t>
            </w:r>
            <w:r>
              <w:t>09</w:t>
            </w:r>
            <w:r w:rsidRPr="00451458">
              <w:t>) replaces ≤35 gallon Electric water heater (</w:t>
            </w:r>
            <w:r>
              <w:t>U</w:t>
            </w:r>
            <w:r w:rsidRPr="00451458">
              <w:t xml:space="preserve">EF </w:t>
            </w:r>
            <w:r>
              <w:t xml:space="preserve">= </w:t>
            </w:r>
            <w:r w:rsidRPr="00451458">
              <w:t>0.9</w:t>
            </w:r>
            <w:r>
              <w:t>2</w:t>
            </w:r>
            <w:r w:rsidRPr="00451458">
              <w:t>)</w:t>
            </w:r>
          </w:p>
        </w:tc>
        <w:bookmarkStart w:id="18" w:name="_MON_1400659640"/>
        <w:bookmarkStart w:id="19" w:name="_MON_1400659698"/>
        <w:bookmarkStart w:id="20" w:name="_MON_1400574721"/>
        <w:bookmarkEnd w:id="18"/>
        <w:bookmarkEnd w:id="19"/>
        <w:bookmarkEnd w:id="20"/>
        <w:bookmarkStart w:id="21" w:name="_MON_1566896099"/>
        <w:bookmarkEnd w:id="21"/>
        <w:tc>
          <w:tcPr>
            <w:tcW w:w="960" w:type="pct"/>
            <w:vMerge w:val="restart"/>
            <w:vAlign w:val="center"/>
          </w:tcPr>
          <w:p w14:paraId="4A04D89F" w14:textId="77777777" w:rsidR="00F81634" w:rsidRPr="00605FC6" w:rsidRDefault="00F81634" w:rsidP="00F81634">
            <w:pPr>
              <w:jc w:val="center"/>
              <w:rPr>
                <w:rFonts w:cstheme="minorHAnsi"/>
                <w:szCs w:val="20"/>
              </w:rPr>
            </w:pPr>
            <w:r>
              <w:rPr>
                <w:rFonts w:cstheme="minorHAnsi"/>
                <w:sz w:val="22"/>
                <w:szCs w:val="20"/>
              </w:rPr>
              <w:object w:dxaOrig="1541" w:dyaOrig="998" w14:anchorId="1B40E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pt;height:45.6pt" o:ole="">
                  <v:imagedata r:id="rId16" o:title=""/>
                </v:shape>
                <o:OLEObject Type="Embed" ProgID="Excel.Sheet.12" ShapeID="_x0000_i1025" DrawAspect="Icon" ObjectID="_1605099669" r:id="rId17"/>
              </w:object>
            </w:r>
          </w:p>
        </w:tc>
      </w:tr>
      <w:tr w:rsidR="00F81634" w:rsidRPr="00605FC6" w14:paraId="4219C5A2" w14:textId="77777777" w:rsidTr="00463BD4">
        <w:tc>
          <w:tcPr>
            <w:tcW w:w="582" w:type="pct"/>
          </w:tcPr>
          <w:p w14:paraId="41566308"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9956</w:t>
            </w:r>
          </w:p>
        </w:tc>
        <w:tc>
          <w:tcPr>
            <w:tcW w:w="1388" w:type="pct"/>
          </w:tcPr>
          <w:p w14:paraId="2A220F49"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RE-WtrHt-SmlStrg-HP-lte12kW-rep30G-3p50EF</w:t>
            </w:r>
          </w:p>
        </w:tc>
        <w:tc>
          <w:tcPr>
            <w:tcW w:w="2070" w:type="pct"/>
          </w:tcPr>
          <w:p w14:paraId="77B13424" w14:textId="77777777" w:rsidR="00F81634" w:rsidRDefault="00F81634" w:rsidP="00F81634">
            <w:pPr>
              <w:rPr>
                <w:rFonts w:ascii="Calibri" w:hAnsi="Calibri" w:cs="Arial"/>
                <w:color w:val="000000"/>
                <w:szCs w:val="20"/>
              </w:rPr>
            </w:pPr>
            <w:r w:rsidRPr="00A345BC">
              <w:t xml:space="preserve">Efficient water heater: </w:t>
            </w:r>
            <w:r>
              <w:t>50 to</w:t>
            </w:r>
            <w:r w:rsidRPr="00A345BC">
              <w:t xml:space="preserve"> 55 gallon HP Elec (</w:t>
            </w:r>
            <w:r>
              <w:t>U</w:t>
            </w:r>
            <w:r w:rsidRPr="00A345BC">
              <w:t>EF=3.</w:t>
            </w:r>
            <w:r>
              <w:t>31</w:t>
            </w:r>
            <w:r w:rsidRPr="00A345BC">
              <w:t>) replaces ≤35 gallon Electric water heater (</w:t>
            </w:r>
            <w:r>
              <w:t>U</w:t>
            </w:r>
            <w:r w:rsidRPr="00A345BC">
              <w:t>EF</w:t>
            </w:r>
            <w:r>
              <w:t xml:space="preserve"> =</w:t>
            </w:r>
            <w:r w:rsidRPr="00A345BC">
              <w:t xml:space="preserve"> 0.9</w:t>
            </w:r>
            <w:r>
              <w:t>2</w:t>
            </w:r>
            <w:r w:rsidRPr="00A345BC">
              <w:t>)</w:t>
            </w:r>
          </w:p>
        </w:tc>
        <w:tc>
          <w:tcPr>
            <w:tcW w:w="960" w:type="pct"/>
            <w:vMerge/>
          </w:tcPr>
          <w:p w14:paraId="642A3400" w14:textId="77777777" w:rsidR="00F81634" w:rsidDel="001B3A53" w:rsidRDefault="00F81634" w:rsidP="00F81634">
            <w:pPr>
              <w:jc w:val="center"/>
              <w:rPr>
                <w:rFonts w:cstheme="minorHAnsi"/>
                <w:szCs w:val="20"/>
              </w:rPr>
            </w:pPr>
          </w:p>
        </w:tc>
      </w:tr>
      <w:tr w:rsidR="00F81634" w:rsidRPr="00605FC6" w14:paraId="6D8E3135" w14:textId="77777777" w:rsidTr="00463BD4">
        <w:tc>
          <w:tcPr>
            <w:tcW w:w="582" w:type="pct"/>
          </w:tcPr>
          <w:p w14:paraId="71BFA553"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9957</w:t>
            </w:r>
          </w:p>
        </w:tc>
        <w:tc>
          <w:tcPr>
            <w:tcW w:w="1388" w:type="pct"/>
          </w:tcPr>
          <w:p w14:paraId="60365A4F"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RE-WtrHt-SmlStrg-HP-lte12kW-rep40G-3p24EF</w:t>
            </w:r>
          </w:p>
        </w:tc>
        <w:tc>
          <w:tcPr>
            <w:tcW w:w="2070" w:type="pct"/>
          </w:tcPr>
          <w:p w14:paraId="20337DF7" w14:textId="77777777" w:rsidR="00F81634" w:rsidRDefault="00F81634" w:rsidP="00F81634">
            <w:pPr>
              <w:rPr>
                <w:rFonts w:ascii="Calibri" w:hAnsi="Calibri" w:cs="Arial"/>
                <w:color w:val="000000"/>
                <w:szCs w:val="20"/>
              </w:rPr>
            </w:pPr>
            <w:r w:rsidRPr="00A345BC">
              <w:t xml:space="preserve">Efficient water heater: </w:t>
            </w:r>
            <w:r>
              <w:t>50 to</w:t>
            </w:r>
            <w:r w:rsidRPr="00A345BC">
              <w:t xml:space="preserve"> 55 gallon HP Elec (</w:t>
            </w:r>
            <w:r>
              <w:t>U</w:t>
            </w:r>
            <w:r w:rsidRPr="00A345BC">
              <w:t>EF=3.</w:t>
            </w:r>
            <w:r>
              <w:t>09</w:t>
            </w:r>
            <w:r w:rsidRPr="00A345BC">
              <w:t>) replaces &gt;35 to 45 gallon Electric water heater (</w:t>
            </w:r>
            <w:r>
              <w:t>U</w:t>
            </w:r>
            <w:r w:rsidRPr="00A345BC">
              <w:t>EF</w:t>
            </w:r>
            <w:r>
              <w:t xml:space="preserve"> =</w:t>
            </w:r>
            <w:r w:rsidRPr="00A345BC">
              <w:t xml:space="preserve"> 0.9</w:t>
            </w:r>
            <w:r>
              <w:t>2</w:t>
            </w:r>
            <w:r w:rsidRPr="00A345BC">
              <w:t>)</w:t>
            </w:r>
          </w:p>
        </w:tc>
        <w:tc>
          <w:tcPr>
            <w:tcW w:w="960" w:type="pct"/>
            <w:vMerge/>
          </w:tcPr>
          <w:p w14:paraId="72742A78" w14:textId="77777777" w:rsidR="00F81634" w:rsidDel="001B3A53" w:rsidRDefault="00F81634" w:rsidP="00F81634">
            <w:pPr>
              <w:jc w:val="center"/>
              <w:rPr>
                <w:rFonts w:cstheme="minorHAnsi"/>
                <w:szCs w:val="20"/>
              </w:rPr>
            </w:pPr>
          </w:p>
        </w:tc>
      </w:tr>
      <w:tr w:rsidR="00F81634" w:rsidRPr="00605FC6" w14:paraId="1658B274" w14:textId="77777777" w:rsidTr="00463BD4">
        <w:tc>
          <w:tcPr>
            <w:tcW w:w="582" w:type="pct"/>
          </w:tcPr>
          <w:p w14:paraId="0302A296"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9958</w:t>
            </w:r>
          </w:p>
        </w:tc>
        <w:tc>
          <w:tcPr>
            <w:tcW w:w="1388" w:type="pct"/>
          </w:tcPr>
          <w:p w14:paraId="1724105D"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RE-WtrHt-SmlStrg-HP-lte12kW-rep40G-3p50EF</w:t>
            </w:r>
          </w:p>
        </w:tc>
        <w:tc>
          <w:tcPr>
            <w:tcW w:w="2070" w:type="pct"/>
          </w:tcPr>
          <w:p w14:paraId="5D947848" w14:textId="77777777" w:rsidR="00F81634" w:rsidRDefault="00F81634" w:rsidP="00F81634">
            <w:pPr>
              <w:rPr>
                <w:rFonts w:ascii="Calibri" w:hAnsi="Calibri" w:cs="Arial"/>
                <w:color w:val="000000"/>
                <w:szCs w:val="20"/>
              </w:rPr>
            </w:pPr>
            <w:r w:rsidRPr="00451458">
              <w:t xml:space="preserve">Efficient water heater: </w:t>
            </w:r>
            <w:r>
              <w:t>50 to 55</w:t>
            </w:r>
            <w:r w:rsidRPr="00451458">
              <w:t> gallon HP Elec (</w:t>
            </w:r>
            <w:r>
              <w:t>U</w:t>
            </w:r>
            <w:r w:rsidRPr="00451458">
              <w:t>EF=3.</w:t>
            </w:r>
            <w:r>
              <w:t>31</w:t>
            </w:r>
            <w:r w:rsidRPr="00451458">
              <w:t>) replaces &gt;35 to 45  gallon Electric water heater (</w:t>
            </w:r>
            <w:r>
              <w:t>U</w:t>
            </w:r>
            <w:r w:rsidRPr="00451458">
              <w:t xml:space="preserve">EF </w:t>
            </w:r>
            <w:r>
              <w:t xml:space="preserve">= </w:t>
            </w:r>
            <w:r w:rsidRPr="00451458">
              <w:t>0.9</w:t>
            </w:r>
            <w:r>
              <w:t>2</w:t>
            </w:r>
            <w:r w:rsidRPr="00451458">
              <w:t>)</w:t>
            </w:r>
          </w:p>
        </w:tc>
        <w:tc>
          <w:tcPr>
            <w:tcW w:w="960" w:type="pct"/>
            <w:vMerge/>
          </w:tcPr>
          <w:p w14:paraId="23D7515A" w14:textId="77777777" w:rsidR="00F81634" w:rsidDel="001B3A53" w:rsidRDefault="00F81634" w:rsidP="00F81634">
            <w:pPr>
              <w:jc w:val="center"/>
              <w:rPr>
                <w:rFonts w:cstheme="minorHAnsi"/>
                <w:szCs w:val="20"/>
              </w:rPr>
            </w:pPr>
          </w:p>
        </w:tc>
      </w:tr>
      <w:tr w:rsidR="00F81634" w:rsidRPr="00605FC6" w14:paraId="722C002A" w14:textId="77777777" w:rsidTr="00463BD4">
        <w:tc>
          <w:tcPr>
            <w:tcW w:w="582" w:type="pct"/>
          </w:tcPr>
          <w:p w14:paraId="63C2CDED"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9959</w:t>
            </w:r>
          </w:p>
        </w:tc>
        <w:tc>
          <w:tcPr>
            <w:tcW w:w="1388" w:type="pct"/>
          </w:tcPr>
          <w:p w14:paraId="4362E95F"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RE-WtrHt-SmlStrg-HP-lte12kW-rep50G-3p24EF</w:t>
            </w:r>
          </w:p>
        </w:tc>
        <w:tc>
          <w:tcPr>
            <w:tcW w:w="2070" w:type="pct"/>
          </w:tcPr>
          <w:p w14:paraId="449FA70C" w14:textId="77777777" w:rsidR="00F81634" w:rsidRDefault="00F81634" w:rsidP="00F81634">
            <w:pPr>
              <w:rPr>
                <w:rFonts w:ascii="Calibri" w:hAnsi="Calibri" w:cs="Arial"/>
                <w:color w:val="000000"/>
                <w:szCs w:val="20"/>
              </w:rPr>
            </w:pPr>
            <w:r w:rsidRPr="00451458">
              <w:t xml:space="preserve">Efficient water heater: </w:t>
            </w:r>
            <w:r>
              <w:t>50 to 55</w:t>
            </w:r>
            <w:r w:rsidRPr="00451458">
              <w:t> gallon HP Elec (</w:t>
            </w:r>
            <w:r>
              <w:t>U</w:t>
            </w:r>
            <w:r w:rsidRPr="00451458">
              <w:t>EF=3</w:t>
            </w:r>
            <w:r>
              <w:t>.09</w:t>
            </w:r>
            <w:r w:rsidRPr="00451458">
              <w:t>) replaces &gt;45 to 55 gallon Electric water heater (</w:t>
            </w:r>
            <w:r>
              <w:t>U</w:t>
            </w:r>
            <w:r w:rsidRPr="00451458">
              <w:t>EF</w:t>
            </w:r>
            <w:r>
              <w:t xml:space="preserve"> =</w:t>
            </w:r>
            <w:r w:rsidRPr="00451458">
              <w:t xml:space="preserve"> 0.9</w:t>
            </w:r>
            <w:r>
              <w:t>2</w:t>
            </w:r>
            <w:r w:rsidRPr="00451458">
              <w:t>)</w:t>
            </w:r>
          </w:p>
        </w:tc>
        <w:tc>
          <w:tcPr>
            <w:tcW w:w="960" w:type="pct"/>
            <w:vMerge/>
          </w:tcPr>
          <w:p w14:paraId="3BD8406A" w14:textId="77777777" w:rsidR="00F81634" w:rsidDel="001B3A53" w:rsidRDefault="00F81634" w:rsidP="00F81634">
            <w:pPr>
              <w:jc w:val="center"/>
              <w:rPr>
                <w:rFonts w:cstheme="minorHAnsi"/>
                <w:szCs w:val="20"/>
              </w:rPr>
            </w:pPr>
          </w:p>
        </w:tc>
      </w:tr>
      <w:tr w:rsidR="00F81634" w:rsidRPr="00605FC6" w14:paraId="6A8F93D4" w14:textId="77777777" w:rsidTr="00463BD4">
        <w:tc>
          <w:tcPr>
            <w:tcW w:w="582" w:type="pct"/>
          </w:tcPr>
          <w:p w14:paraId="1D0F4D69"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9960</w:t>
            </w:r>
          </w:p>
        </w:tc>
        <w:tc>
          <w:tcPr>
            <w:tcW w:w="1388" w:type="pct"/>
          </w:tcPr>
          <w:p w14:paraId="6F197C40"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RE-WtrHt-SmlStrg-HP-lte12kW-rep50G-3p50EF</w:t>
            </w:r>
          </w:p>
        </w:tc>
        <w:tc>
          <w:tcPr>
            <w:tcW w:w="2070" w:type="pct"/>
          </w:tcPr>
          <w:p w14:paraId="3FC08B8D" w14:textId="77777777" w:rsidR="00F81634" w:rsidRDefault="00F81634" w:rsidP="00F81634">
            <w:pPr>
              <w:rPr>
                <w:rFonts w:ascii="Calibri" w:hAnsi="Calibri" w:cs="Arial"/>
                <w:color w:val="000000"/>
                <w:szCs w:val="20"/>
              </w:rPr>
            </w:pPr>
            <w:r w:rsidRPr="00A345BC">
              <w:t xml:space="preserve">Efficient water heater: </w:t>
            </w:r>
            <w:r>
              <w:t xml:space="preserve">50 to 55 </w:t>
            </w:r>
            <w:r w:rsidRPr="00A345BC">
              <w:t>gallon HP Elec (</w:t>
            </w:r>
            <w:r>
              <w:t>U</w:t>
            </w:r>
            <w:r w:rsidRPr="00A345BC">
              <w:t>EF=3.</w:t>
            </w:r>
            <w:r>
              <w:t>31</w:t>
            </w:r>
            <w:r w:rsidRPr="00A345BC">
              <w:t>) replaces &gt;45 to 55  gallon Electric water heater (</w:t>
            </w:r>
            <w:r>
              <w:t>U</w:t>
            </w:r>
            <w:r w:rsidRPr="00A345BC">
              <w:t>EF</w:t>
            </w:r>
            <w:r>
              <w:t xml:space="preserve"> =</w:t>
            </w:r>
            <w:r w:rsidRPr="00A345BC">
              <w:t xml:space="preserve"> 0.9</w:t>
            </w:r>
            <w:r>
              <w:t>2</w:t>
            </w:r>
            <w:r w:rsidRPr="00A345BC">
              <w:t>)</w:t>
            </w:r>
          </w:p>
        </w:tc>
        <w:tc>
          <w:tcPr>
            <w:tcW w:w="960" w:type="pct"/>
            <w:vMerge/>
          </w:tcPr>
          <w:p w14:paraId="58B67411" w14:textId="77777777" w:rsidR="00F81634" w:rsidDel="001B3A53" w:rsidRDefault="00F81634" w:rsidP="00F81634">
            <w:pPr>
              <w:jc w:val="center"/>
              <w:rPr>
                <w:rFonts w:cstheme="minorHAnsi"/>
                <w:szCs w:val="20"/>
              </w:rPr>
            </w:pPr>
          </w:p>
        </w:tc>
      </w:tr>
      <w:tr w:rsidR="00F81634" w:rsidRPr="00605FC6" w14:paraId="4CA8C752" w14:textId="77777777" w:rsidTr="00463BD4">
        <w:tc>
          <w:tcPr>
            <w:tcW w:w="582" w:type="pct"/>
          </w:tcPr>
          <w:p w14:paraId="21271C2F"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9961</w:t>
            </w:r>
          </w:p>
        </w:tc>
        <w:tc>
          <w:tcPr>
            <w:tcW w:w="1388" w:type="pct"/>
          </w:tcPr>
          <w:p w14:paraId="74710DB0"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RE-WtrHt-SmlStrg-HP-lte12kW-rep60G-3p50EF</w:t>
            </w:r>
          </w:p>
        </w:tc>
        <w:tc>
          <w:tcPr>
            <w:tcW w:w="2070" w:type="pct"/>
          </w:tcPr>
          <w:p w14:paraId="3027183E" w14:textId="77777777" w:rsidR="00F81634" w:rsidRDefault="00F81634" w:rsidP="00F81634">
            <w:pPr>
              <w:rPr>
                <w:rFonts w:ascii="Calibri" w:hAnsi="Calibri" w:cs="Arial"/>
                <w:color w:val="000000"/>
                <w:szCs w:val="20"/>
              </w:rPr>
            </w:pPr>
            <w:r w:rsidRPr="00451458">
              <w:t>Ef</w:t>
            </w:r>
            <w:r>
              <w:t xml:space="preserve">ficient water heater: &gt;55 to 75 </w:t>
            </w:r>
            <w:r w:rsidRPr="00451458">
              <w:t>gallon HP Elec (</w:t>
            </w:r>
            <w:r>
              <w:t>U</w:t>
            </w:r>
            <w:r w:rsidRPr="00451458">
              <w:t>EF=3.</w:t>
            </w:r>
            <w:r>
              <w:t xml:space="preserve">33) replaces &gt;55 to 75 </w:t>
            </w:r>
            <w:r w:rsidRPr="00451458">
              <w:t>gallon Electric water heater (</w:t>
            </w:r>
            <w:r>
              <w:t>UEF=2.91</w:t>
            </w:r>
            <w:r w:rsidRPr="00451458">
              <w:t>)</w:t>
            </w:r>
          </w:p>
        </w:tc>
        <w:tc>
          <w:tcPr>
            <w:tcW w:w="960" w:type="pct"/>
            <w:vMerge/>
          </w:tcPr>
          <w:p w14:paraId="66D9CD60" w14:textId="77777777" w:rsidR="00F81634" w:rsidDel="001B3A53" w:rsidRDefault="00F81634" w:rsidP="00F81634">
            <w:pPr>
              <w:jc w:val="center"/>
              <w:rPr>
                <w:rFonts w:cstheme="minorHAnsi"/>
                <w:szCs w:val="20"/>
              </w:rPr>
            </w:pPr>
          </w:p>
        </w:tc>
      </w:tr>
      <w:tr w:rsidR="00F81634" w:rsidRPr="00605FC6" w14:paraId="2DB276BC" w14:textId="77777777" w:rsidTr="00463BD4">
        <w:tc>
          <w:tcPr>
            <w:tcW w:w="582" w:type="pct"/>
          </w:tcPr>
          <w:p w14:paraId="01F380C4" w14:textId="77777777" w:rsidR="00F81634" w:rsidRPr="007E6EBC" w:rsidRDefault="00F81634" w:rsidP="00F81634">
            <w:pPr>
              <w:rPr>
                <w:rFonts w:cstheme="minorHAnsi"/>
                <w:szCs w:val="20"/>
              </w:rPr>
            </w:pPr>
            <w:r w:rsidRPr="007E6EBC">
              <w:rPr>
                <w:rFonts w:cstheme="minorHAnsi"/>
                <w:szCs w:val="20"/>
              </w:rPr>
              <w:t>WH-1</w:t>
            </w:r>
            <w:r>
              <w:rPr>
                <w:rFonts w:cstheme="minorHAnsi"/>
                <w:szCs w:val="20"/>
              </w:rPr>
              <w:t>9962</w:t>
            </w:r>
          </w:p>
        </w:tc>
        <w:tc>
          <w:tcPr>
            <w:tcW w:w="1388" w:type="pct"/>
          </w:tcPr>
          <w:p w14:paraId="759F88DC" w14:textId="77777777" w:rsidR="00F81634" w:rsidRPr="00597657" w:rsidRDefault="00F81634" w:rsidP="00F81634">
            <w:pPr>
              <w:rPr>
                <w:rFonts w:ascii="Calibri" w:hAnsi="Calibri" w:cs="Arial"/>
                <w:color w:val="000000"/>
                <w:szCs w:val="20"/>
              </w:rPr>
            </w:pPr>
            <w:r w:rsidRPr="00597657">
              <w:rPr>
                <w:rFonts w:ascii="Calibri" w:hAnsi="Calibri" w:cs="Arial"/>
                <w:color w:val="000000"/>
                <w:szCs w:val="20"/>
              </w:rPr>
              <w:t>RE-WtrHt-SmlStrg-HP-lte12kW-rep75G-3p50EF</w:t>
            </w:r>
          </w:p>
        </w:tc>
        <w:tc>
          <w:tcPr>
            <w:tcW w:w="2070" w:type="pct"/>
          </w:tcPr>
          <w:p w14:paraId="04525FD5" w14:textId="77777777" w:rsidR="00F81634" w:rsidRDefault="00F81634" w:rsidP="00F81634">
            <w:pPr>
              <w:rPr>
                <w:rFonts w:ascii="Calibri" w:hAnsi="Calibri" w:cs="Arial"/>
                <w:color w:val="000000"/>
                <w:szCs w:val="20"/>
              </w:rPr>
            </w:pPr>
            <w:r w:rsidRPr="00451458">
              <w:t>Efficient water heater: &gt;75 gallon HP Elec (</w:t>
            </w:r>
            <w:r>
              <w:t>U</w:t>
            </w:r>
            <w:r w:rsidRPr="00451458">
              <w:t>EF=3.</w:t>
            </w:r>
            <w:r>
              <w:t>42</w:t>
            </w:r>
            <w:r w:rsidRPr="00451458">
              <w:t>) replaces &gt;75 gallon Electric water heater (</w:t>
            </w:r>
            <w:r>
              <w:t>U</w:t>
            </w:r>
            <w:r w:rsidRPr="00451458">
              <w:t>EF</w:t>
            </w:r>
            <w:r>
              <w:t>=3.00</w:t>
            </w:r>
            <w:r w:rsidRPr="00451458">
              <w:t>)</w:t>
            </w:r>
          </w:p>
        </w:tc>
        <w:tc>
          <w:tcPr>
            <w:tcW w:w="960" w:type="pct"/>
            <w:vMerge/>
          </w:tcPr>
          <w:p w14:paraId="673314D1" w14:textId="77777777" w:rsidR="00F81634" w:rsidDel="001B3A53" w:rsidRDefault="00F81634" w:rsidP="00F81634">
            <w:pPr>
              <w:jc w:val="center"/>
              <w:rPr>
                <w:rFonts w:cstheme="minorHAnsi"/>
                <w:szCs w:val="20"/>
              </w:rPr>
            </w:pPr>
          </w:p>
        </w:tc>
      </w:tr>
    </w:tbl>
    <w:p w14:paraId="3281D7D9" w14:textId="77777777" w:rsidR="00605FC6" w:rsidRPr="00605FC6" w:rsidRDefault="00605FC6" w:rsidP="00605FC6">
      <w:pPr>
        <w:outlineLvl w:val="2"/>
        <w:rPr>
          <w:rFonts w:cstheme="minorHAnsi"/>
          <w:bCs/>
          <w:szCs w:val="22"/>
        </w:rPr>
      </w:pPr>
    </w:p>
    <w:p w14:paraId="3A427999" w14:textId="77777777" w:rsidR="00605FC6" w:rsidRPr="00605FC6" w:rsidRDefault="00605FC6" w:rsidP="00605FC6">
      <w:pPr>
        <w:outlineLvl w:val="2"/>
        <w:rPr>
          <w:rFonts w:cstheme="minorHAnsi"/>
          <w:bCs/>
          <w:szCs w:val="22"/>
        </w:rPr>
      </w:pPr>
      <w:r w:rsidRPr="00605FC6">
        <w:rPr>
          <w:rFonts w:cstheme="minorHAnsi"/>
          <w:bCs/>
          <w:szCs w:val="22"/>
        </w:rPr>
        <w:t>Since these measures are ROB, the code or “</w:t>
      </w:r>
      <w:proofErr w:type="spellStart"/>
      <w:r w:rsidRPr="00605FC6">
        <w:rPr>
          <w:rFonts w:cstheme="minorHAnsi"/>
          <w:bCs/>
          <w:szCs w:val="22"/>
        </w:rPr>
        <w:t>Std</w:t>
      </w:r>
      <w:proofErr w:type="spellEnd"/>
      <w:r w:rsidRPr="00605FC6">
        <w:rPr>
          <w:rFonts w:cstheme="minorHAnsi"/>
          <w:bCs/>
          <w:szCs w:val="22"/>
        </w:rPr>
        <w:t xml:space="preserve">” baseline savings from DEER </w:t>
      </w:r>
      <w:r w:rsidR="001B3A53">
        <w:rPr>
          <w:rFonts w:cstheme="minorHAnsi"/>
          <w:bCs/>
          <w:szCs w:val="22"/>
        </w:rPr>
        <w:t xml:space="preserve">2017 </w:t>
      </w:r>
      <w:r w:rsidRPr="00605FC6">
        <w:rPr>
          <w:rFonts w:cstheme="minorHAnsi"/>
          <w:bCs/>
          <w:szCs w:val="22"/>
        </w:rPr>
        <w:t>are used</w:t>
      </w:r>
      <w:r w:rsidR="0060362B">
        <w:rPr>
          <w:rFonts w:cstheme="minorHAnsi"/>
          <w:bCs/>
          <w:szCs w:val="22"/>
        </w:rPr>
        <w:t>.  T</w:t>
      </w:r>
      <w:r w:rsidR="0060362B" w:rsidRPr="00605FC6">
        <w:rPr>
          <w:rFonts w:cstheme="minorHAnsi"/>
          <w:szCs w:val="22"/>
        </w:rPr>
        <w:t xml:space="preserve">he Calculation Template </w:t>
      </w:r>
      <w:r w:rsidR="00CF3978">
        <w:rPr>
          <w:rFonts w:cstheme="minorHAnsi"/>
          <w:szCs w:val="22"/>
        </w:rPr>
        <w:t>(Attachment 1)</w:t>
      </w:r>
      <w:r w:rsidR="0060362B" w:rsidRPr="00605FC6">
        <w:rPr>
          <w:rFonts w:cstheme="minorHAnsi"/>
          <w:szCs w:val="22"/>
        </w:rPr>
        <w:t xml:space="preserve"> </w:t>
      </w:r>
      <w:r w:rsidR="008F7C02">
        <w:rPr>
          <w:rFonts w:cstheme="minorHAnsi"/>
          <w:szCs w:val="22"/>
        </w:rPr>
        <w:t>show</w:t>
      </w:r>
      <w:r w:rsidR="0060362B">
        <w:rPr>
          <w:rFonts w:cstheme="minorHAnsi"/>
          <w:szCs w:val="22"/>
        </w:rPr>
        <w:t>s these</w:t>
      </w:r>
      <w:r w:rsidR="0060362B" w:rsidRPr="00605FC6">
        <w:rPr>
          <w:rFonts w:cstheme="minorHAnsi"/>
          <w:szCs w:val="22"/>
        </w:rPr>
        <w:t xml:space="preserve"> savings values.</w:t>
      </w:r>
    </w:p>
    <w:p w14:paraId="233FAD4A" w14:textId="77777777" w:rsidR="00E16609" w:rsidRPr="00397406" w:rsidRDefault="00E16609" w:rsidP="00E16609">
      <w:pPr>
        <w:pStyle w:val="Heading1"/>
        <w:keepNext w:val="0"/>
        <w:rPr>
          <w:rFonts w:cstheme="minorHAnsi"/>
        </w:rPr>
      </w:pPr>
      <w:r w:rsidRPr="00397406">
        <w:rPr>
          <w:rFonts w:cstheme="minorHAnsi"/>
        </w:rPr>
        <w:t>Section 3</w:t>
      </w:r>
      <w:r w:rsidR="00AE1A15">
        <w:rPr>
          <w:rFonts w:cstheme="minorHAnsi"/>
        </w:rPr>
        <w:t>.</w:t>
      </w:r>
      <w:r w:rsidRPr="00397406">
        <w:rPr>
          <w:rFonts w:cstheme="minorHAnsi"/>
        </w:rPr>
        <w:t xml:space="preserve"> Load Shape</w:t>
      </w:r>
      <w:bookmarkEnd w:id="17"/>
      <w:r w:rsidRPr="00397406">
        <w:rPr>
          <w:rFonts w:cstheme="minorHAnsi"/>
        </w:rPr>
        <w:t>s</w:t>
      </w:r>
    </w:p>
    <w:p w14:paraId="5CE7A707" w14:textId="77777777" w:rsidR="0004362F" w:rsidRPr="00500C4E" w:rsidRDefault="0004362F" w:rsidP="0004362F">
      <w:pPr>
        <w:rPr>
          <w:rFonts w:cstheme="minorHAnsi"/>
          <w:szCs w:val="22"/>
        </w:rPr>
      </w:pPr>
      <w:r w:rsidRPr="00500C4E">
        <w:rPr>
          <w:rFonts w:cstheme="minorHAnsi"/>
          <w:szCs w:val="22"/>
        </w:rPr>
        <w:t>The ideal load shape for net benefits estimates would represent the difference between the base case and measure case. The closest load shapes that are applicable to the measures in this work paper are listed in the table below.</w:t>
      </w:r>
    </w:p>
    <w:p w14:paraId="3DFFABC2" w14:textId="77777777" w:rsidR="000173BF" w:rsidRPr="00397406" w:rsidRDefault="000173BF" w:rsidP="00E16609">
      <w:pPr>
        <w:rPr>
          <w:rFonts w:cstheme="minorHAnsi"/>
          <w:szCs w:val="22"/>
        </w:rPr>
      </w:pPr>
    </w:p>
    <w:p w14:paraId="146D00C1" w14:textId="77777777" w:rsidR="00E16609" w:rsidRPr="00397406" w:rsidRDefault="002A3D26" w:rsidP="0004362F">
      <w:pPr>
        <w:pStyle w:val="Caption"/>
        <w:jc w:val="center"/>
        <w:rPr>
          <w:rFonts w:cstheme="minorHAnsi"/>
          <w:b w:val="0"/>
          <w:szCs w:val="22"/>
        </w:rPr>
      </w:pPr>
      <w:r w:rsidRPr="00397406">
        <w:rPr>
          <w:rFonts w:cstheme="minorHAnsi"/>
          <w:szCs w:val="22"/>
        </w:rPr>
        <w:t>Building Types</w:t>
      </w:r>
      <w:r w:rsidR="00E16609" w:rsidRPr="00397406">
        <w:rPr>
          <w:rFonts w:cstheme="minorHAnsi"/>
          <w:szCs w:val="22"/>
        </w:rPr>
        <w:t xml:space="preserve"> and Load Shapes</w:t>
      </w:r>
    </w:p>
    <w:tbl>
      <w:tblPr>
        <w:tblStyle w:val="TableGrid11"/>
        <w:tblW w:w="4626" w:type="pct"/>
        <w:tblLook w:val="01E0" w:firstRow="1" w:lastRow="1" w:firstColumn="1" w:lastColumn="1" w:noHBand="0" w:noVBand="0"/>
      </w:tblPr>
      <w:tblGrid>
        <w:gridCol w:w="2917"/>
        <w:gridCol w:w="2208"/>
        <w:gridCol w:w="3526"/>
      </w:tblGrid>
      <w:tr w:rsidR="00263C1C" w:rsidRPr="00397406" w14:paraId="30F183CD" w14:textId="77777777" w:rsidTr="0004362F">
        <w:tc>
          <w:tcPr>
            <w:tcW w:w="1686" w:type="pct"/>
            <w:shd w:val="clear" w:color="auto" w:fill="D9D9D9" w:themeFill="background1" w:themeFillShade="D9"/>
          </w:tcPr>
          <w:p w14:paraId="34C2A655" w14:textId="77777777" w:rsidR="00263C1C" w:rsidRPr="007E6EBC" w:rsidRDefault="00263C1C" w:rsidP="0004362F">
            <w:pPr>
              <w:rPr>
                <w:rFonts w:cstheme="minorHAnsi"/>
                <w:b/>
                <w:szCs w:val="20"/>
                <w:highlight w:val="yellow"/>
              </w:rPr>
            </w:pPr>
            <w:r w:rsidRPr="007E6EBC">
              <w:rPr>
                <w:rFonts w:cstheme="minorHAnsi"/>
                <w:b/>
                <w:szCs w:val="20"/>
              </w:rPr>
              <w:t>Building Type</w:t>
            </w:r>
          </w:p>
        </w:tc>
        <w:tc>
          <w:tcPr>
            <w:tcW w:w="1276" w:type="pct"/>
            <w:shd w:val="clear" w:color="auto" w:fill="D9D9D9" w:themeFill="background1" w:themeFillShade="D9"/>
          </w:tcPr>
          <w:p w14:paraId="2A73E9E4" w14:textId="77777777" w:rsidR="00263C1C" w:rsidRPr="007E6EBC" w:rsidRDefault="00263C1C" w:rsidP="0004362F">
            <w:pPr>
              <w:rPr>
                <w:rFonts w:cstheme="minorHAnsi"/>
                <w:b/>
                <w:szCs w:val="20"/>
              </w:rPr>
            </w:pPr>
            <w:r w:rsidRPr="007E6EBC">
              <w:rPr>
                <w:rFonts w:cstheme="minorHAnsi"/>
                <w:b/>
                <w:szCs w:val="20"/>
              </w:rPr>
              <w:t>Load Shape</w:t>
            </w:r>
          </w:p>
        </w:tc>
        <w:tc>
          <w:tcPr>
            <w:tcW w:w="2038" w:type="pct"/>
            <w:shd w:val="clear" w:color="auto" w:fill="D9D9D9" w:themeFill="background1" w:themeFillShade="D9"/>
          </w:tcPr>
          <w:p w14:paraId="3BE08F98" w14:textId="77777777" w:rsidR="00263C1C" w:rsidRPr="007E6EBC" w:rsidRDefault="00AE1A15" w:rsidP="0004362F">
            <w:pPr>
              <w:rPr>
                <w:rFonts w:cstheme="minorHAnsi"/>
                <w:b/>
                <w:szCs w:val="20"/>
                <w:highlight w:val="yellow"/>
              </w:rPr>
            </w:pPr>
            <w:r>
              <w:rPr>
                <w:rFonts w:cstheme="minorHAnsi"/>
                <w:b/>
                <w:szCs w:val="20"/>
              </w:rPr>
              <w:t>E3 Alternate</w:t>
            </w:r>
            <w:r w:rsidR="00263C1C" w:rsidRPr="007E6EBC">
              <w:rPr>
                <w:rFonts w:cstheme="minorHAnsi"/>
                <w:b/>
                <w:szCs w:val="20"/>
              </w:rPr>
              <w:t xml:space="preserve"> Building Type</w:t>
            </w:r>
          </w:p>
        </w:tc>
      </w:tr>
      <w:tr w:rsidR="00051EAC" w:rsidRPr="00397406" w14:paraId="1B29A8E0" w14:textId="77777777" w:rsidTr="0004362F">
        <w:tc>
          <w:tcPr>
            <w:tcW w:w="1686" w:type="pct"/>
          </w:tcPr>
          <w:p w14:paraId="3C5A112F" w14:textId="77777777" w:rsidR="00051EAC" w:rsidRPr="003F699E" w:rsidRDefault="00051EAC" w:rsidP="0004362F">
            <w:r w:rsidRPr="003F699E">
              <w:t>Residential Single Family</w:t>
            </w:r>
          </w:p>
        </w:tc>
        <w:tc>
          <w:tcPr>
            <w:tcW w:w="1276" w:type="pct"/>
          </w:tcPr>
          <w:p w14:paraId="66521D60" w14:textId="77777777" w:rsidR="00051EAC" w:rsidRPr="007F4A57" w:rsidRDefault="00051EAC" w:rsidP="0004362F">
            <w:proofErr w:type="spellStart"/>
            <w:r w:rsidRPr="007F4A57">
              <w:t>HeatPump_WtrHt</w:t>
            </w:r>
            <w:proofErr w:type="spellEnd"/>
            <w:r w:rsidRPr="007F4A57">
              <w:t>-RC</w:t>
            </w:r>
          </w:p>
        </w:tc>
        <w:tc>
          <w:tcPr>
            <w:tcW w:w="2038" w:type="pct"/>
          </w:tcPr>
          <w:p w14:paraId="773DDBE4" w14:textId="77777777" w:rsidR="00051EAC" w:rsidRDefault="00051EAC" w:rsidP="0004362F">
            <w:pPr>
              <w:rPr>
                <w:rFonts w:cstheme="minorHAnsi"/>
                <w:szCs w:val="20"/>
              </w:rPr>
            </w:pPr>
            <w:r>
              <w:rPr>
                <w:rFonts w:cstheme="minorHAnsi"/>
                <w:szCs w:val="20"/>
              </w:rPr>
              <w:t>Residential</w:t>
            </w:r>
          </w:p>
        </w:tc>
      </w:tr>
      <w:tr w:rsidR="00051EAC" w:rsidRPr="00397406" w14:paraId="34F66023" w14:textId="77777777" w:rsidTr="0004362F">
        <w:tc>
          <w:tcPr>
            <w:tcW w:w="1686" w:type="pct"/>
          </w:tcPr>
          <w:p w14:paraId="28405458" w14:textId="77777777" w:rsidR="00051EAC" w:rsidRPr="003F699E" w:rsidRDefault="00051EAC" w:rsidP="0004362F">
            <w:r w:rsidRPr="003F699E">
              <w:t>Residential Multi-Family</w:t>
            </w:r>
          </w:p>
        </w:tc>
        <w:tc>
          <w:tcPr>
            <w:tcW w:w="1276" w:type="pct"/>
          </w:tcPr>
          <w:p w14:paraId="46F08BEF" w14:textId="77777777" w:rsidR="00051EAC" w:rsidRPr="007F4A57" w:rsidRDefault="00051EAC" w:rsidP="0004362F">
            <w:proofErr w:type="spellStart"/>
            <w:r w:rsidRPr="007F4A57">
              <w:t>HeatPump_WtrHt</w:t>
            </w:r>
            <w:proofErr w:type="spellEnd"/>
            <w:r w:rsidRPr="007F4A57">
              <w:t>-RC</w:t>
            </w:r>
          </w:p>
        </w:tc>
        <w:tc>
          <w:tcPr>
            <w:tcW w:w="2038" w:type="pct"/>
          </w:tcPr>
          <w:p w14:paraId="1535331B" w14:textId="77777777" w:rsidR="00051EAC" w:rsidRDefault="00051EAC" w:rsidP="0004362F">
            <w:pPr>
              <w:rPr>
                <w:rFonts w:cstheme="minorHAnsi"/>
                <w:szCs w:val="20"/>
              </w:rPr>
            </w:pPr>
            <w:r>
              <w:rPr>
                <w:rFonts w:cstheme="minorHAnsi"/>
                <w:szCs w:val="20"/>
              </w:rPr>
              <w:t>Residential</w:t>
            </w:r>
          </w:p>
        </w:tc>
      </w:tr>
      <w:tr w:rsidR="00051EAC" w:rsidRPr="00397406" w14:paraId="28130D58" w14:textId="77777777" w:rsidTr="0004362F">
        <w:tc>
          <w:tcPr>
            <w:tcW w:w="1686" w:type="pct"/>
          </w:tcPr>
          <w:p w14:paraId="6AD2E392" w14:textId="77777777" w:rsidR="00051EAC" w:rsidRDefault="00051EAC" w:rsidP="0004362F">
            <w:r w:rsidRPr="003F699E">
              <w:t>Residential Mobile Home - Double-Wide</w:t>
            </w:r>
          </w:p>
        </w:tc>
        <w:tc>
          <w:tcPr>
            <w:tcW w:w="1276" w:type="pct"/>
          </w:tcPr>
          <w:p w14:paraId="37715578" w14:textId="77777777" w:rsidR="00051EAC" w:rsidRDefault="00051EAC" w:rsidP="0004362F">
            <w:proofErr w:type="spellStart"/>
            <w:r w:rsidRPr="007F4A57">
              <w:t>HeatPump_WtrHt</w:t>
            </w:r>
            <w:proofErr w:type="spellEnd"/>
            <w:r w:rsidRPr="007F4A57">
              <w:t>-RC</w:t>
            </w:r>
          </w:p>
        </w:tc>
        <w:tc>
          <w:tcPr>
            <w:tcW w:w="2038" w:type="pct"/>
          </w:tcPr>
          <w:p w14:paraId="11E8B922" w14:textId="77777777" w:rsidR="00051EAC" w:rsidRDefault="00051EAC" w:rsidP="0004362F">
            <w:pPr>
              <w:rPr>
                <w:rFonts w:cstheme="minorHAnsi"/>
                <w:szCs w:val="20"/>
              </w:rPr>
            </w:pPr>
            <w:r>
              <w:rPr>
                <w:rFonts w:cstheme="minorHAnsi"/>
                <w:szCs w:val="20"/>
              </w:rPr>
              <w:t>Residential</w:t>
            </w:r>
          </w:p>
        </w:tc>
      </w:tr>
    </w:tbl>
    <w:p w14:paraId="7DF3A116" w14:textId="77777777" w:rsidR="001A5F62" w:rsidRPr="00397406" w:rsidRDefault="00E16609" w:rsidP="00AB36DB">
      <w:pPr>
        <w:pStyle w:val="Heading1"/>
        <w:keepNext w:val="0"/>
        <w:rPr>
          <w:rFonts w:cstheme="minorHAnsi"/>
        </w:rPr>
      </w:pPr>
      <w:bookmarkStart w:id="22" w:name="_Toc214003096"/>
      <w:r w:rsidRPr="00397406">
        <w:rPr>
          <w:rFonts w:cstheme="minorHAnsi"/>
        </w:rPr>
        <w:t>Section 4</w:t>
      </w:r>
      <w:r w:rsidR="00AE1A15">
        <w:rPr>
          <w:rFonts w:cstheme="minorHAnsi"/>
        </w:rPr>
        <w:t>.</w:t>
      </w:r>
      <w:r w:rsidRPr="00397406">
        <w:rPr>
          <w:rFonts w:cstheme="minorHAnsi"/>
        </w:rPr>
        <w:t xml:space="preserve"> Costs</w:t>
      </w:r>
      <w:bookmarkEnd w:id="22"/>
    </w:p>
    <w:p w14:paraId="0677CB12" w14:textId="77777777" w:rsidR="00E16609" w:rsidRPr="00397406" w:rsidRDefault="00E16609" w:rsidP="00824F1C">
      <w:pPr>
        <w:pStyle w:val="Heading2"/>
        <w:rPr>
          <w:rFonts w:asciiTheme="minorHAnsi" w:hAnsiTheme="minorHAnsi" w:cstheme="minorHAnsi"/>
        </w:rPr>
      </w:pPr>
      <w:bookmarkStart w:id="23" w:name="_MON_1399297811"/>
      <w:bookmarkStart w:id="24" w:name="_Toc214003097"/>
      <w:bookmarkEnd w:id="23"/>
      <w:r w:rsidRPr="00397406">
        <w:rPr>
          <w:rFonts w:asciiTheme="minorHAnsi" w:hAnsiTheme="minorHAnsi" w:cstheme="minorHAnsi"/>
        </w:rPr>
        <w:lastRenderedPageBreak/>
        <w:t>4.1 Base Case Cost</w:t>
      </w:r>
      <w:bookmarkEnd w:id="24"/>
    </w:p>
    <w:p w14:paraId="3CB6319A" w14:textId="77777777" w:rsidR="005C5688" w:rsidRDefault="009837BA" w:rsidP="00051EAC">
      <w:pPr>
        <w:rPr>
          <w:szCs w:val="22"/>
        </w:rPr>
      </w:pPr>
      <w:bookmarkStart w:id="25" w:name="_Toc214003098"/>
      <w:bookmarkStart w:id="26" w:name="_Toc214003099"/>
      <w:r>
        <w:rPr>
          <w:szCs w:val="22"/>
        </w:rPr>
        <w:t xml:space="preserve">Base case material costs are from the Electric Storage Water Heater section of 2010-2012 WO017 [475] for electric storage water heaters of 30, 40, and 50 gallons, and online retailer prices for material base cases involving Heat Pump Water Heaters above 55 gallons. All labor costs are derived from </w:t>
      </w:r>
      <w:r w:rsidR="00032A0A">
        <w:rPr>
          <w:szCs w:val="22"/>
        </w:rPr>
        <w:t xml:space="preserve">the Electric Storage Water Heater section </w:t>
      </w:r>
      <w:r>
        <w:rPr>
          <w:szCs w:val="22"/>
        </w:rPr>
        <w:t>WO017.</w:t>
      </w:r>
    </w:p>
    <w:tbl>
      <w:tblPr>
        <w:tblW w:w="9180" w:type="dxa"/>
        <w:tblLook w:val="04A0" w:firstRow="1" w:lastRow="0" w:firstColumn="1" w:lastColumn="0" w:noHBand="0" w:noVBand="1"/>
      </w:tblPr>
      <w:tblGrid>
        <w:gridCol w:w="2820"/>
        <w:gridCol w:w="2820"/>
        <w:gridCol w:w="1280"/>
        <w:gridCol w:w="960"/>
        <w:gridCol w:w="1300"/>
      </w:tblGrid>
      <w:tr w:rsidR="005C5688" w:rsidRPr="005C5688" w14:paraId="4861FF96" w14:textId="77777777" w:rsidTr="005C5688">
        <w:trPr>
          <w:trHeight w:val="315"/>
        </w:trPr>
        <w:tc>
          <w:tcPr>
            <w:tcW w:w="282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499C666"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Solution Code</w:t>
            </w:r>
          </w:p>
        </w:tc>
        <w:tc>
          <w:tcPr>
            <w:tcW w:w="2820" w:type="dxa"/>
            <w:tcBorders>
              <w:top w:val="single" w:sz="8" w:space="0" w:color="auto"/>
              <w:left w:val="nil"/>
              <w:bottom w:val="single" w:sz="8" w:space="0" w:color="auto"/>
              <w:right w:val="single" w:sz="8" w:space="0" w:color="auto"/>
            </w:tcBorders>
            <w:shd w:val="clear" w:color="000000" w:fill="D9D9D9"/>
            <w:vAlign w:val="center"/>
            <w:hideMark/>
          </w:tcPr>
          <w:p w14:paraId="0A5D0EA6" w14:textId="77777777" w:rsidR="005C5688" w:rsidRPr="005C5688" w:rsidRDefault="005C5688">
            <w:pPr>
              <w:rPr>
                <w:rFonts w:ascii="Calibri" w:hAnsi="Calibri"/>
                <w:b/>
                <w:bCs/>
                <w:color w:val="000000"/>
                <w:sz w:val="20"/>
                <w:szCs w:val="20"/>
              </w:rPr>
            </w:pPr>
            <w:r w:rsidRPr="005C5688">
              <w:rPr>
                <w:rFonts w:ascii="Calibri" w:hAnsi="Calibri"/>
                <w:b/>
                <w:bCs/>
                <w:color w:val="000000"/>
                <w:sz w:val="20"/>
                <w:szCs w:val="20"/>
              </w:rPr>
              <w:t>BASE Cost</w:t>
            </w:r>
            <w:r>
              <w:rPr>
                <w:rFonts w:ascii="Calibri" w:hAnsi="Calibri"/>
                <w:b/>
                <w:bCs/>
                <w:color w:val="000000"/>
                <w:sz w:val="20"/>
                <w:szCs w:val="20"/>
              </w:rPr>
              <w:t xml:space="preserve"> </w:t>
            </w:r>
            <w:r w:rsidRPr="005C5688">
              <w:rPr>
                <w:rFonts w:ascii="Calibri" w:hAnsi="Calibri"/>
                <w:b/>
                <w:bCs/>
                <w:color w:val="000000"/>
                <w:sz w:val="20"/>
                <w:szCs w:val="20"/>
              </w:rPr>
              <w:t>ID</w:t>
            </w:r>
          </w:p>
        </w:tc>
        <w:tc>
          <w:tcPr>
            <w:tcW w:w="1280" w:type="dxa"/>
            <w:tcBorders>
              <w:top w:val="single" w:sz="8" w:space="0" w:color="auto"/>
              <w:left w:val="nil"/>
              <w:bottom w:val="single" w:sz="8" w:space="0" w:color="auto"/>
              <w:right w:val="single" w:sz="8" w:space="0" w:color="auto"/>
            </w:tcBorders>
            <w:shd w:val="clear" w:color="000000" w:fill="D9D9D9"/>
            <w:vAlign w:val="center"/>
            <w:hideMark/>
          </w:tcPr>
          <w:p w14:paraId="2F07B6BF"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Material</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55FA78F4"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Labor</w:t>
            </w:r>
          </w:p>
        </w:tc>
        <w:tc>
          <w:tcPr>
            <w:tcW w:w="1300" w:type="dxa"/>
            <w:tcBorders>
              <w:top w:val="single" w:sz="8" w:space="0" w:color="auto"/>
              <w:left w:val="nil"/>
              <w:bottom w:val="single" w:sz="8" w:space="0" w:color="auto"/>
              <w:right w:val="single" w:sz="8" w:space="0" w:color="auto"/>
            </w:tcBorders>
            <w:shd w:val="clear" w:color="000000" w:fill="D9D9D9"/>
            <w:vAlign w:val="center"/>
            <w:hideMark/>
          </w:tcPr>
          <w:p w14:paraId="04FF11FE"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Total</w:t>
            </w:r>
          </w:p>
        </w:tc>
      </w:tr>
      <w:tr w:rsidR="005C4B38" w:rsidRPr="005C5688" w14:paraId="1A1879C9"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7296EDD0"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WH-19955</w:t>
            </w:r>
          </w:p>
        </w:tc>
        <w:tc>
          <w:tcPr>
            <w:tcW w:w="2820" w:type="dxa"/>
            <w:tcBorders>
              <w:top w:val="nil"/>
              <w:left w:val="nil"/>
              <w:bottom w:val="single" w:sz="8" w:space="0" w:color="auto"/>
              <w:right w:val="single" w:sz="8" w:space="0" w:color="auto"/>
            </w:tcBorders>
            <w:shd w:val="clear" w:color="auto" w:fill="auto"/>
            <w:hideMark/>
          </w:tcPr>
          <w:p w14:paraId="232E39FA"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Stor_EF-Elec-030gal-0.95EF</w:t>
            </w:r>
          </w:p>
        </w:tc>
        <w:tc>
          <w:tcPr>
            <w:tcW w:w="1280" w:type="dxa"/>
            <w:tcBorders>
              <w:top w:val="nil"/>
              <w:left w:val="nil"/>
              <w:bottom w:val="single" w:sz="8" w:space="0" w:color="auto"/>
              <w:right w:val="single" w:sz="8" w:space="0" w:color="auto"/>
            </w:tcBorders>
            <w:shd w:val="clear" w:color="auto" w:fill="auto"/>
            <w:vAlign w:val="center"/>
            <w:hideMark/>
          </w:tcPr>
          <w:p w14:paraId="3F72F793" w14:textId="77777777" w:rsidR="005C4B38" w:rsidRPr="005C5688" w:rsidRDefault="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5</w:t>
            </w:r>
            <w:r>
              <w:rPr>
                <w:rFonts w:ascii="Calibri" w:hAnsi="Calibri"/>
                <w:color w:val="000000"/>
                <w:sz w:val="20"/>
                <w:szCs w:val="20"/>
              </w:rPr>
              <w:t>6</w:t>
            </w:r>
            <w:r w:rsidRPr="005C5688">
              <w:rPr>
                <w:rFonts w:ascii="Calibri" w:hAnsi="Calibri"/>
                <w:color w:val="000000"/>
                <w:sz w:val="20"/>
                <w:szCs w:val="20"/>
              </w:rPr>
              <w:t xml:space="preserve">6.57 </w:t>
            </w:r>
          </w:p>
        </w:tc>
        <w:tc>
          <w:tcPr>
            <w:tcW w:w="960" w:type="dxa"/>
            <w:tcBorders>
              <w:top w:val="nil"/>
              <w:left w:val="nil"/>
              <w:bottom w:val="single" w:sz="8" w:space="0" w:color="auto"/>
              <w:right w:val="single" w:sz="8" w:space="0" w:color="auto"/>
            </w:tcBorders>
            <w:shd w:val="clear" w:color="auto" w:fill="auto"/>
            <w:vAlign w:val="center"/>
            <w:hideMark/>
          </w:tcPr>
          <w:p w14:paraId="38908E61"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295.47 </w:t>
            </w:r>
          </w:p>
        </w:tc>
        <w:tc>
          <w:tcPr>
            <w:tcW w:w="1300" w:type="dxa"/>
            <w:tcBorders>
              <w:top w:val="nil"/>
              <w:left w:val="nil"/>
              <w:bottom w:val="single" w:sz="8" w:space="0" w:color="auto"/>
              <w:right w:val="single" w:sz="8" w:space="0" w:color="auto"/>
            </w:tcBorders>
            <w:shd w:val="clear" w:color="auto" w:fill="auto"/>
            <w:vAlign w:val="center"/>
            <w:hideMark/>
          </w:tcPr>
          <w:p w14:paraId="1CB3001F" w14:textId="77777777" w:rsidR="005C4B38" w:rsidRPr="005C5688" w:rsidRDefault="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8</w:t>
            </w:r>
            <w:r>
              <w:rPr>
                <w:rFonts w:ascii="Calibri" w:hAnsi="Calibri"/>
                <w:color w:val="000000"/>
                <w:sz w:val="20"/>
                <w:szCs w:val="20"/>
              </w:rPr>
              <w:t>6</w:t>
            </w:r>
            <w:r w:rsidRPr="005C5688">
              <w:rPr>
                <w:rFonts w:ascii="Calibri" w:hAnsi="Calibri"/>
                <w:color w:val="000000"/>
                <w:sz w:val="20"/>
                <w:szCs w:val="20"/>
              </w:rPr>
              <w:t xml:space="preserve">2.04 </w:t>
            </w:r>
          </w:p>
        </w:tc>
      </w:tr>
      <w:tr w:rsidR="005C4B38" w:rsidRPr="005C5688" w14:paraId="3D3D46D2"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3804C34D"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WH-19956</w:t>
            </w:r>
          </w:p>
        </w:tc>
        <w:tc>
          <w:tcPr>
            <w:tcW w:w="2820" w:type="dxa"/>
            <w:tcBorders>
              <w:top w:val="nil"/>
              <w:left w:val="nil"/>
              <w:bottom w:val="single" w:sz="8" w:space="0" w:color="auto"/>
              <w:right w:val="single" w:sz="8" w:space="0" w:color="auto"/>
            </w:tcBorders>
            <w:shd w:val="clear" w:color="auto" w:fill="auto"/>
            <w:hideMark/>
          </w:tcPr>
          <w:p w14:paraId="29C52C0D"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Stor_EF-Elec-030gal-0.95EF</w:t>
            </w:r>
          </w:p>
        </w:tc>
        <w:tc>
          <w:tcPr>
            <w:tcW w:w="1280" w:type="dxa"/>
            <w:tcBorders>
              <w:top w:val="nil"/>
              <w:left w:val="nil"/>
              <w:bottom w:val="single" w:sz="8" w:space="0" w:color="auto"/>
              <w:right w:val="single" w:sz="8" w:space="0" w:color="auto"/>
            </w:tcBorders>
            <w:shd w:val="clear" w:color="auto" w:fill="auto"/>
            <w:vAlign w:val="center"/>
            <w:hideMark/>
          </w:tcPr>
          <w:p w14:paraId="0C37C8B7" w14:textId="77777777" w:rsidR="005C4B38" w:rsidRPr="005C5688" w:rsidRDefault="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5</w:t>
            </w:r>
            <w:r>
              <w:rPr>
                <w:rFonts w:ascii="Calibri" w:hAnsi="Calibri"/>
                <w:color w:val="000000"/>
                <w:sz w:val="20"/>
                <w:szCs w:val="20"/>
              </w:rPr>
              <w:t>6</w:t>
            </w:r>
            <w:r w:rsidRPr="005C5688">
              <w:rPr>
                <w:rFonts w:ascii="Calibri" w:hAnsi="Calibri"/>
                <w:color w:val="000000"/>
                <w:sz w:val="20"/>
                <w:szCs w:val="20"/>
              </w:rPr>
              <w:t xml:space="preserve">6.57 </w:t>
            </w:r>
          </w:p>
        </w:tc>
        <w:tc>
          <w:tcPr>
            <w:tcW w:w="960" w:type="dxa"/>
            <w:tcBorders>
              <w:top w:val="nil"/>
              <w:left w:val="nil"/>
              <w:bottom w:val="single" w:sz="8" w:space="0" w:color="auto"/>
              <w:right w:val="single" w:sz="8" w:space="0" w:color="auto"/>
            </w:tcBorders>
            <w:shd w:val="clear" w:color="auto" w:fill="auto"/>
            <w:vAlign w:val="center"/>
            <w:hideMark/>
          </w:tcPr>
          <w:p w14:paraId="531BCDBA"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295.47 </w:t>
            </w:r>
          </w:p>
        </w:tc>
        <w:tc>
          <w:tcPr>
            <w:tcW w:w="1300" w:type="dxa"/>
            <w:tcBorders>
              <w:top w:val="nil"/>
              <w:left w:val="nil"/>
              <w:bottom w:val="single" w:sz="8" w:space="0" w:color="auto"/>
              <w:right w:val="single" w:sz="8" w:space="0" w:color="auto"/>
            </w:tcBorders>
            <w:shd w:val="clear" w:color="auto" w:fill="auto"/>
            <w:vAlign w:val="center"/>
            <w:hideMark/>
          </w:tcPr>
          <w:p w14:paraId="6CB029B7" w14:textId="77777777" w:rsidR="005C4B38" w:rsidRPr="005C5688" w:rsidRDefault="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8</w:t>
            </w:r>
            <w:r>
              <w:rPr>
                <w:rFonts w:ascii="Calibri" w:hAnsi="Calibri"/>
                <w:color w:val="000000"/>
                <w:sz w:val="20"/>
                <w:szCs w:val="20"/>
              </w:rPr>
              <w:t>6</w:t>
            </w:r>
            <w:r w:rsidRPr="005C5688">
              <w:rPr>
                <w:rFonts w:ascii="Calibri" w:hAnsi="Calibri"/>
                <w:color w:val="000000"/>
                <w:sz w:val="20"/>
                <w:szCs w:val="20"/>
              </w:rPr>
              <w:t xml:space="preserve">2.04 </w:t>
            </w:r>
          </w:p>
        </w:tc>
      </w:tr>
      <w:tr w:rsidR="005C4B38" w:rsidRPr="005C5688" w14:paraId="3DC341E6"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72D2AB25"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WH-19957</w:t>
            </w:r>
          </w:p>
        </w:tc>
        <w:tc>
          <w:tcPr>
            <w:tcW w:w="2820" w:type="dxa"/>
            <w:tcBorders>
              <w:top w:val="nil"/>
              <w:left w:val="nil"/>
              <w:bottom w:val="single" w:sz="8" w:space="0" w:color="auto"/>
              <w:right w:val="single" w:sz="8" w:space="0" w:color="auto"/>
            </w:tcBorders>
            <w:shd w:val="clear" w:color="auto" w:fill="auto"/>
            <w:hideMark/>
          </w:tcPr>
          <w:p w14:paraId="16FCA7E0"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Stor_EF-Elec-040gal-0.94EF</w:t>
            </w:r>
          </w:p>
        </w:tc>
        <w:tc>
          <w:tcPr>
            <w:tcW w:w="1280" w:type="dxa"/>
            <w:tcBorders>
              <w:top w:val="nil"/>
              <w:left w:val="nil"/>
              <w:bottom w:val="single" w:sz="8" w:space="0" w:color="auto"/>
              <w:right w:val="single" w:sz="8" w:space="0" w:color="auto"/>
            </w:tcBorders>
            <w:shd w:val="clear" w:color="auto" w:fill="auto"/>
            <w:vAlign w:val="center"/>
            <w:hideMark/>
          </w:tcPr>
          <w:p w14:paraId="75C0F28C"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626.01 </w:t>
            </w:r>
          </w:p>
        </w:tc>
        <w:tc>
          <w:tcPr>
            <w:tcW w:w="960" w:type="dxa"/>
            <w:tcBorders>
              <w:top w:val="nil"/>
              <w:left w:val="nil"/>
              <w:bottom w:val="single" w:sz="8" w:space="0" w:color="auto"/>
              <w:right w:val="single" w:sz="8" w:space="0" w:color="auto"/>
            </w:tcBorders>
            <w:shd w:val="clear" w:color="auto" w:fill="auto"/>
            <w:vAlign w:val="center"/>
            <w:hideMark/>
          </w:tcPr>
          <w:p w14:paraId="0625CB37"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313.12 </w:t>
            </w:r>
          </w:p>
        </w:tc>
        <w:tc>
          <w:tcPr>
            <w:tcW w:w="1300" w:type="dxa"/>
            <w:tcBorders>
              <w:top w:val="nil"/>
              <w:left w:val="nil"/>
              <w:bottom w:val="single" w:sz="8" w:space="0" w:color="auto"/>
              <w:right w:val="single" w:sz="8" w:space="0" w:color="auto"/>
            </w:tcBorders>
            <w:shd w:val="clear" w:color="auto" w:fill="auto"/>
            <w:vAlign w:val="center"/>
            <w:hideMark/>
          </w:tcPr>
          <w:p w14:paraId="72F1B540"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939.13 </w:t>
            </w:r>
          </w:p>
        </w:tc>
      </w:tr>
      <w:tr w:rsidR="005C4B38" w:rsidRPr="005C5688" w14:paraId="296F82E6"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06C3F2E5"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WH-19958</w:t>
            </w:r>
          </w:p>
        </w:tc>
        <w:tc>
          <w:tcPr>
            <w:tcW w:w="2820" w:type="dxa"/>
            <w:tcBorders>
              <w:top w:val="nil"/>
              <w:left w:val="nil"/>
              <w:bottom w:val="single" w:sz="8" w:space="0" w:color="auto"/>
              <w:right w:val="single" w:sz="8" w:space="0" w:color="auto"/>
            </w:tcBorders>
            <w:shd w:val="clear" w:color="auto" w:fill="auto"/>
            <w:hideMark/>
          </w:tcPr>
          <w:p w14:paraId="2649E29B"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Stor_EF-Elec-040gal-0.94EF</w:t>
            </w:r>
          </w:p>
        </w:tc>
        <w:tc>
          <w:tcPr>
            <w:tcW w:w="1280" w:type="dxa"/>
            <w:tcBorders>
              <w:top w:val="nil"/>
              <w:left w:val="nil"/>
              <w:bottom w:val="single" w:sz="8" w:space="0" w:color="auto"/>
              <w:right w:val="single" w:sz="8" w:space="0" w:color="auto"/>
            </w:tcBorders>
            <w:shd w:val="clear" w:color="auto" w:fill="auto"/>
            <w:vAlign w:val="center"/>
            <w:hideMark/>
          </w:tcPr>
          <w:p w14:paraId="7B871C9C"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626.01 </w:t>
            </w:r>
          </w:p>
        </w:tc>
        <w:tc>
          <w:tcPr>
            <w:tcW w:w="960" w:type="dxa"/>
            <w:tcBorders>
              <w:top w:val="nil"/>
              <w:left w:val="nil"/>
              <w:bottom w:val="single" w:sz="8" w:space="0" w:color="auto"/>
              <w:right w:val="single" w:sz="8" w:space="0" w:color="auto"/>
            </w:tcBorders>
            <w:shd w:val="clear" w:color="auto" w:fill="auto"/>
            <w:vAlign w:val="center"/>
            <w:hideMark/>
          </w:tcPr>
          <w:p w14:paraId="096197BE"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313.12 </w:t>
            </w:r>
          </w:p>
        </w:tc>
        <w:tc>
          <w:tcPr>
            <w:tcW w:w="1300" w:type="dxa"/>
            <w:tcBorders>
              <w:top w:val="nil"/>
              <w:left w:val="nil"/>
              <w:bottom w:val="single" w:sz="8" w:space="0" w:color="auto"/>
              <w:right w:val="single" w:sz="8" w:space="0" w:color="auto"/>
            </w:tcBorders>
            <w:shd w:val="clear" w:color="auto" w:fill="auto"/>
            <w:vAlign w:val="center"/>
            <w:hideMark/>
          </w:tcPr>
          <w:p w14:paraId="00070C4C"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939.13 </w:t>
            </w:r>
          </w:p>
        </w:tc>
      </w:tr>
      <w:tr w:rsidR="005C4B38" w:rsidRPr="005C5688" w14:paraId="4018A324"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35FD6961"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WH-19959</w:t>
            </w:r>
          </w:p>
        </w:tc>
        <w:tc>
          <w:tcPr>
            <w:tcW w:w="2820" w:type="dxa"/>
            <w:tcBorders>
              <w:top w:val="nil"/>
              <w:left w:val="nil"/>
              <w:bottom w:val="single" w:sz="8" w:space="0" w:color="auto"/>
              <w:right w:val="single" w:sz="8" w:space="0" w:color="auto"/>
            </w:tcBorders>
            <w:shd w:val="clear" w:color="auto" w:fill="auto"/>
            <w:hideMark/>
          </w:tcPr>
          <w:p w14:paraId="55C07BB7"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Stor_EF-Elec-050gal-0.93EF</w:t>
            </w:r>
          </w:p>
        </w:tc>
        <w:tc>
          <w:tcPr>
            <w:tcW w:w="1280" w:type="dxa"/>
            <w:tcBorders>
              <w:top w:val="nil"/>
              <w:left w:val="nil"/>
              <w:bottom w:val="single" w:sz="8" w:space="0" w:color="auto"/>
              <w:right w:val="single" w:sz="8" w:space="0" w:color="auto"/>
            </w:tcBorders>
            <w:shd w:val="clear" w:color="auto" w:fill="auto"/>
            <w:vAlign w:val="center"/>
            <w:hideMark/>
          </w:tcPr>
          <w:p w14:paraId="5456EE46"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685.46 </w:t>
            </w:r>
          </w:p>
        </w:tc>
        <w:tc>
          <w:tcPr>
            <w:tcW w:w="960" w:type="dxa"/>
            <w:tcBorders>
              <w:top w:val="nil"/>
              <w:left w:val="nil"/>
              <w:bottom w:val="single" w:sz="8" w:space="0" w:color="auto"/>
              <w:right w:val="single" w:sz="8" w:space="0" w:color="auto"/>
            </w:tcBorders>
            <w:shd w:val="clear" w:color="auto" w:fill="auto"/>
            <w:vAlign w:val="center"/>
            <w:hideMark/>
          </w:tcPr>
          <w:p w14:paraId="25FFE89F"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330.76 </w:t>
            </w:r>
          </w:p>
        </w:tc>
        <w:tc>
          <w:tcPr>
            <w:tcW w:w="1300" w:type="dxa"/>
            <w:tcBorders>
              <w:top w:val="nil"/>
              <w:left w:val="nil"/>
              <w:bottom w:val="single" w:sz="8" w:space="0" w:color="auto"/>
              <w:right w:val="single" w:sz="8" w:space="0" w:color="auto"/>
            </w:tcBorders>
            <w:shd w:val="clear" w:color="auto" w:fill="auto"/>
            <w:vAlign w:val="center"/>
            <w:hideMark/>
          </w:tcPr>
          <w:p w14:paraId="658BD288"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1,016.22 </w:t>
            </w:r>
          </w:p>
        </w:tc>
      </w:tr>
      <w:tr w:rsidR="005C4B38" w:rsidRPr="005C5688" w14:paraId="1D8DB907"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0C377FF6"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WH-19960</w:t>
            </w:r>
          </w:p>
        </w:tc>
        <w:tc>
          <w:tcPr>
            <w:tcW w:w="2820" w:type="dxa"/>
            <w:tcBorders>
              <w:top w:val="nil"/>
              <w:left w:val="nil"/>
              <w:bottom w:val="single" w:sz="8" w:space="0" w:color="auto"/>
              <w:right w:val="single" w:sz="8" w:space="0" w:color="auto"/>
            </w:tcBorders>
            <w:shd w:val="clear" w:color="auto" w:fill="auto"/>
            <w:hideMark/>
          </w:tcPr>
          <w:p w14:paraId="4834B8B7"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Stor_EF-Elec-050gal-0.93EF</w:t>
            </w:r>
          </w:p>
        </w:tc>
        <w:tc>
          <w:tcPr>
            <w:tcW w:w="1280" w:type="dxa"/>
            <w:tcBorders>
              <w:top w:val="nil"/>
              <w:left w:val="nil"/>
              <w:bottom w:val="single" w:sz="8" w:space="0" w:color="auto"/>
              <w:right w:val="single" w:sz="8" w:space="0" w:color="auto"/>
            </w:tcBorders>
            <w:shd w:val="clear" w:color="auto" w:fill="auto"/>
            <w:vAlign w:val="center"/>
            <w:hideMark/>
          </w:tcPr>
          <w:p w14:paraId="299F0EBC"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685.46 </w:t>
            </w:r>
          </w:p>
        </w:tc>
        <w:tc>
          <w:tcPr>
            <w:tcW w:w="960" w:type="dxa"/>
            <w:tcBorders>
              <w:top w:val="nil"/>
              <w:left w:val="nil"/>
              <w:bottom w:val="single" w:sz="8" w:space="0" w:color="auto"/>
              <w:right w:val="single" w:sz="8" w:space="0" w:color="auto"/>
            </w:tcBorders>
            <w:shd w:val="clear" w:color="auto" w:fill="auto"/>
            <w:vAlign w:val="center"/>
            <w:hideMark/>
          </w:tcPr>
          <w:p w14:paraId="56051C5C"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330.76 </w:t>
            </w:r>
          </w:p>
        </w:tc>
        <w:tc>
          <w:tcPr>
            <w:tcW w:w="1300" w:type="dxa"/>
            <w:tcBorders>
              <w:top w:val="nil"/>
              <w:left w:val="nil"/>
              <w:bottom w:val="single" w:sz="8" w:space="0" w:color="auto"/>
              <w:right w:val="single" w:sz="8" w:space="0" w:color="auto"/>
            </w:tcBorders>
            <w:shd w:val="clear" w:color="auto" w:fill="auto"/>
            <w:vAlign w:val="center"/>
            <w:hideMark/>
          </w:tcPr>
          <w:p w14:paraId="1D1DDC00"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1,016.22 </w:t>
            </w:r>
          </w:p>
        </w:tc>
      </w:tr>
      <w:tr w:rsidR="005C4B38" w:rsidRPr="005C5688" w14:paraId="2540AFD5"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610010E4"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WH-19961</w:t>
            </w:r>
          </w:p>
        </w:tc>
        <w:tc>
          <w:tcPr>
            <w:tcW w:w="2820" w:type="dxa"/>
            <w:tcBorders>
              <w:top w:val="nil"/>
              <w:left w:val="nil"/>
              <w:bottom w:val="single" w:sz="8" w:space="0" w:color="auto"/>
              <w:right w:val="single" w:sz="8" w:space="0" w:color="auto"/>
            </w:tcBorders>
            <w:shd w:val="clear" w:color="auto" w:fill="auto"/>
            <w:hideMark/>
          </w:tcPr>
          <w:p w14:paraId="5A94E261"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SCE17WH001</w:t>
            </w:r>
            <w:r w:rsidR="009C7E2E">
              <w:rPr>
                <w:rFonts w:ascii="Calibri" w:hAnsi="Calibri"/>
                <w:color w:val="000000"/>
                <w:sz w:val="20"/>
                <w:szCs w:val="20"/>
              </w:rPr>
              <w:t>_02_</w:t>
            </w:r>
            <w:r w:rsidRPr="004D486C">
              <w:rPr>
                <w:rFonts w:ascii="Calibri" w:hAnsi="Calibri"/>
                <w:color w:val="000000"/>
                <w:sz w:val="20"/>
                <w:szCs w:val="20"/>
              </w:rPr>
              <w:t>B001</w:t>
            </w:r>
          </w:p>
        </w:tc>
        <w:tc>
          <w:tcPr>
            <w:tcW w:w="1280" w:type="dxa"/>
            <w:tcBorders>
              <w:top w:val="nil"/>
              <w:left w:val="nil"/>
              <w:bottom w:val="single" w:sz="8" w:space="0" w:color="auto"/>
              <w:right w:val="single" w:sz="8" w:space="0" w:color="auto"/>
            </w:tcBorders>
            <w:shd w:val="clear" w:color="auto" w:fill="auto"/>
            <w:vAlign w:val="center"/>
            <w:hideMark/>
          </w:tcPr>
          <w:p w14:paraId="1CBD7E21"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1,599.00 </w:t>
            </w:r>
          </w:p>
        </w:tc>
        <w:tc>
          <w:tcPr>
            <w:tcW w:w="960" w:type="dxa"/>
            <w:tcBorders>
              <w:top w:val="nil"/>
              <w:left w:val="nil"/>
              <w:bottom w:val="single" w:sz="8" w:space="0" w:color="auto"/>
              <w:right w:val="single" w:sz="8" w:space="0" w:color="auto"/>
            </w:tcBorders>
            <w:shd w:val="clear" w:color="auto" w:fill="auto"/>
            <w:vAlign w:val="center"/>
            <w:hideMark/>
          </w:tcPr>
          <w:p w14:paraId="2C9C7821"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$348</w:t>
            </w:r>
            <w:r w:rsidRPr="005C5688">
              <w:rPr>
                <w:rFonts w:ascii="Calibri" w:hAnsi="Calibri"/>
                <w:color w:val="000000"/>
                <w:sz w:val="20"/>
                <w:szCs w:val="20"/>
              </w:rPr>
              <w:t xml:space="preserve">.41 </w:t>
            </w:r>
          </w:p>
        </w:tc>
        <w:tc>
          <w:tcPr>
            <w:tcW w:w="1300" w:type="dxa"/>
            <w:tcBorders>
              <w:top w:val="nil"/>
              <w:left w:val="nil"/>
              <w:bottom w:val="single" w:sz="8" w:space="0" w:color="auto"/>
              <w:right w:val="single" w:sz="8" w:space="0" w:color="auto"/>
            </w:tcBorders>
            <w:shd w:val="clear" w:color="auto" w:fill="auto"/>
            <w:vAlign w:val="center"/>
            <w:hideMark/>
          </w:tcPr>
          <w:p w14:paraId="09B9500D" w14:textId="77777777" w:rsidR="005C4B38" w:rsidRPr="005C5688" w:rsidRDefault="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1,94</w:t>
            </w:r>
            <w:r>
              <w:rPr>
                <w:rFonts w:ascii="Calibri" w:hAnsi="Calibri"/>
                <w:color w:val="000000"/>
                <w:sz w:val="20"/>
                <w:szCs w:val="20"/>
              </w:rPr>
              <w:t>7</w:t>
            </w:r>
            <w:r w:rsidRPr="005C5688">
              <w:rPr>
                <w:rFonts w:ascii="Calibri" w:hAnsi="Calibri"/>
                <w:color w:val="000000"/>
                <w:sz w:val="20"/>
                <w:szCs w:val="20"/>
              </w:rPr>
              <w:t xml:space="preserve">.41 </w:t>
            </w:r>
          </w:p>
        </w:tc>
      </w:tr>
      <w:tr w:rsidR="005C4B38" w:rsidRPr="005C5688" w14:paraId="51C97619" w14:textId="77777777" w:rsidTr="004D486C">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3DA63F31" w14:textId="77777777" w:rsidR="005C4B38" w:rsidRPr="005C5688" w:rsidRDefault="005C4B38" w:rsidP="005C4B38">
            <w:pPr>
              <w:rPr>
                <w:rFonts w:ascii="Calibri" w:hAnsi="Calibri"/>
                <w:color w:val="000000"/>
                <w:sz w:val="20"/>
                <w:szCs w:val="20"/>
              </w:rPr>
            </w:pPr>
            <w:r w:rsidRPr="005C5688">
              <w:rPr>
                <w:rFonts w:ascii="Calibri" w:hAnsi="Calibri"/>
                <w:color w:val="000000"/>
                <w:sz w:val="20"/>
                <w:szCs w:val="20"/>
              </w:rPr>
              <w:t>WH-19962</w:t>
            </w:r>
          </w:p>
        </w:tc>
        <w:tc>
          <w:tcPr>
            <w:tcW w:w="2820" w:type="dxa"/>
            <w:tcBorders>
              <w:top w:val="nil"/>
              <w:left w:val="nil"/>
              <w:bottom w:val="single" w:sz="8" w:space="0" w:color="auto"/>
              <w:right w:val="single" w:sz="8" w:space="0" w:color="auto"/>
            </w:tcBorders>
            <w:shd w:val="clear" w:color="auto" w:fill="auto"/>
            <w:hideMark/>
          </w:tcPr>
          <w:p w14:paraId="2DD31936" w14:textId="77777777" w:rsidR="005C4B38" w:rsidRPr="005C5688" w:rsidRDefault="005C4B38" w:rsidP="005C4B38">
            <w:pPr>
              <w:rPr>
                <w:rFonts w:ascii="Calibri" w:hAnsi="Calibri"/>
                <w:color w:val="000000"/>
                <w:sz w:val="20"/>
                <w:szCs w:val="20"/>
              </w:rPr>
            </w:pPr>
            <w:r w:rsidRPr="004D486C">
              <w:rPr>
                <w:rFonts w:ascii="Calibri" w:hAnsi="Calibri"/>
                <w:color w:val="000000"/>
                <w:sz w:val="20"/>
                <w:szCs w:val="20"/>
              </w:rPr>
              <w:t>SCE17WH001</w:t>
            </w:r>
            <w:r w:rsidR="009C7E2E">
              <w:rPr>
                <w:rFonts w:ascii="Calibri" w:hAnsi="Calibri"/>
                <w:color w:val="000000"/>
                <w:sz w:val="20"/>
                <w:szCs w:val="20"/>
              </w:rPr>
              <w:t>_02_</w:t>
            </w:r>
            <w:r w:rsidRPr="004D486C">
              <w:rPr>
                <w:rFonts w:ascii="Calibri" w:hAnsi="Calibri"/>
                <w:color w:val="000000"/>
                <w:sz w:val="20"/>
                <w:szCs w:val="20"/>
              </w:rPr>
              <w:t>B002</w:t>
            </w:r>
          </w:p>
        </w:tc>
        <w:tc>
          <w:tcPr>
            <w:tcW w:w="1280" w:type="dxa"/>
            <w:tcBorders>
              <w:top w:val="nil"/>
              <w:left w:val="nil"/>
              <w:bottom w:val="single" w:sz="8" w:space="0" w:color="auto"/>
              <w:right w:val="single" w:sz="8" w:space="0" w:color="auto"/>
            </w:tcBorders>
            <w:shd w:val="clear" w:color="auto" w:fill="auto"/>
            <w:vAlign w:val="center"/>
            <w:hideMark/>
          </w:tcPr>
          <w:p w14:paraId="167B015D"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1,760.62 </w:t>
            </w:r>
          </w:p>
        </w:tc>
        <w:tc>
          <w:tcPr>
            <w:tcW w:w="960" w:type="dxa"/>
            <w:tcBorders>
              <w:top w:val="nil"/>
              <w:left w:val="nil"/>
              <w:bottom w:val="single" w:sz="8" w:space="0" w:color="auto"/>
              <w:right w:val="single" w:sz="8" w:space="0" w:color="auto"/>
            </w:tcBorders>
            <w:shd w:val="clear" w:color="auto" w:fill="auto"/>
            <w:vAlign w:val="center"/>
            <w:hideMark/>
          </w:tcPr>
          <w:p w14:paraId="07F010F9"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374.87 </w:t>
            </w:r>
          </w:p>
        </w:tc>
        <w:tc>
          <w:tcPr>
            <w:tcW w:w="1300" w:type="dxa"/>
            <w:tcBorders>
              <w:top w:val="nil"/>
              <w:left w:val="nil"/>
              <w:bottom w:val="single" w:sz="8" w:space="0" w:color="auto"/>
              <w:right w:val="single" w:sz="8" w:space="0" w:color="auto"/>
            </w:tcBorders>
            <w:shd w:val="clear" w:color="auto" w:fill="auto"/>
            <w:vAlign w:val="center"/>
            <w:hideMark/>
          </w:tcPr>
          <w:p w14:paraId="1FC7DF2D" w14:textId="77777777" w:rsidR="005C4B38" w:rsidRPr="005C5688" w:rsidRDefault="005C4B38" w:rsidP="005C4B3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2,135.49 </w:t>
            </w:r>
          </w:p>
        </w:tc>
      </w:tr>
    </w:tbl>
    <w:p w14:paraId="38C47220" w14:textId="77777777" w:rsidR="005C5688" w:rsidRDefault="005C5688" w:rsidP="00051EAC">
      <w:pPr>
        <w:rPr>
          <w:szCs w:val="22"/>
        </w:rPr>
      </w:pPr>
    </w:p>
    <w:p w14:paraId="635B15AE" w14:textId="77777777" w:rsidR="00051EAC" w:rsidRPr="005C5688" w:rsidRDefault="00051EAC" w:rsidP="004D486C">
      <w:pPr>
        <w:rPr>
          <w:rFonts w:cstheme="minorHAnsi"/>
        </w:rPr>
      </w:pPr>
      <w:r w:rsidRPr="005C5688">
        <w:rPr>
          <w:rFonts w:cstheme="minorHAnsi"/>
          <w:b/>
          <w:bCs/>
          <w:iCs/>
          <w:smallCaps/>
          <w:sz w:val="28"/>
          <w:szCs w:val="28"/>
        </w:rPr>
        <w:t>4.2 Measure Case Cost</w:t>
      </w:r>
    </w:p>
    <w:p w14:paraId="385BAF2B" w14:textId="77777777" w:rsidR="006F76EA" w:rsidRDefault="009837BA" w:rsidP="001D36B2">
      <w:pPr>
        <w:rPr>
          <w:szCs w:val="22"/>
        </w:rPr>
      </w:pPr>
      <w:r>
        <w:rPr>
          <w:szCs w:val="22"/>
        </w:rPr>
        <w:t>Heat Pump Water Heaters of 3.24 EF or greater are not included in 2010-2012 WO017 [475]. Measure case costs were taken from online retailers. Not many products were available in the market for Heat Pump Water Heaters above 3.00 EF. Costs were found using limited available resources. Labor costs were considered to be the same as the base case costs, taken from the Electric Storage Water Heater section of WO017 [475].</w:t>
      </w:r>
    </w:p>
    <w:tbl>
      <w:tblPr>
        <w:tblW w:w="9180" w:type="dxa"/>
        <w:tblLook w:val="04A0" w:firstRow="1" w:lastRow="0" w:firstColumn="1" w:lastColumn="0" w:noHBand="0" w:noVBand="1"/>
      </w:tblPr>
      <w:tblGrid>
        <w:gridCol w:w="2820"/>
        <w:gridCol w:w="2820"/>
        <w:gridCol w:w="1280"/>
        <w:gridCol w:w="960"/>
        <w:gridCol w:w="1300"/>
      </w:tblGrid>
      <w:tr w:rsidR="005C5688" w:rsidRPr="005C5688" w14:paraId="3AC33BC9" w14:textId="77777777" w:rsidTr="005C5688">
        <w:trPr>
          <w:trHeight w:val="315"/>
        </w:trPr>
        <w:tc>
          <w:tcPr>
            <w:tcW w:w="282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05BE13C"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Solution Code</w:t>
            </w:r>
          </w:p>
        </w:tc>
        <w:tc>
          <w:tcPr>
            <w:tcW w:w="2820" w:type="dxa"/>
            <w:tcBorders>
              <w:top w:val="single" w:sz="8" w:space="0" w:color="auto"/>
              <w:left w:val="nil"/>
              <w:bottom w:val="single" w:sz="8" w:space="0" w:color="auto"/>
              <w:right w:val="single" w:sz="8" w:space="0" w:color="auto"/>
            </w:tcBorders>
            <w:shd w:val="clear" w:color="000000" w:fill="D9D9D9"/>
            <w:vAlign w:val="center"/>
            <w:hideMark/>
          </w:tcPr>
          <w:p w14:paraId="4FDC81C1"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 xml:space="preserve">Measure </w:t>
            </w:r>
            <w:proofErr w:type="spellStart"/>
            <w:r w:rsidRPr="005C5688">
              <w:rPr>
                <w:rFonts w:ascii="Calibri" w:hAnsi="Calibri"/>
                <w:b/>
                <w:bCs/>
                <w:color w:val="000000"/>
                <w:sz w:val="20"/>
                <w:szCs w:val="20"/>
              </w:rPr>
              <w:t>CostID</w:t>
            </w:r>
            <w:proofErr w:type="spellEnd"/>
          </w:p>
        </w:tc>
        <w:tc>
          <w:tcPr>
            <w:tcW w:w="1280" w:type="dxa"/>
            <w:tcBorders>
              <w:top w:val="single" w:sz="8" w:space="0" w:color="auto"/>
              <w:left w:val="nil"/>
              <w:bottom w:val="single" w:sz="8" w:space="0" w:color="auto"/>
              <w:right w:val="single" w:sz="8" w:space="0" w:color="auto"/>
            </w:tcBorders>
            <w:shd w:val="clear" w:color="000000" w:fill="D9D9D9"/>
            <w:vAlign w:val="center"/>
            <w:hideMark/>
          </w:tcPr>
          <w:p w14:paraId="596AA37A"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Material</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6B0E5B68"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Labor</w:t>
            </w:r>
          </w:p>
        </w:tc>
        <w:tc>
          <w:tcPr>
            <w:tcW w:w="1300" w:type="dxa"/>
            <w:tcBorders>
              <w:top w:val="single" w:sz="8" w:space="0" w:color="auto"/>
              <w:left w:val="nil"/>
              <w:bottom w:val="single" w:sz="8" w:space="0" w:color="auto"/>
              <w:right w:val="single" w:sz="8" w:space="0" w:color="auto"/>
            </w:tcBorders>
            <w:shd w:val="clear" w:color="000000" w:fill="D9D9D9"/>
            <w:vAlign w:val="center"/>
            <w:hideMark/>
          </w:tcPr>
          <w:p w14:paraId="20D587B0"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Total</w:t>
            </w:r>
          </w:p>
        </w:tc>
      </w:tr>
      <w:tr w:rsidR="005C5688" w:rsidRPr="005C5688" w14:paraId="31BBC45A"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6ED9677B"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WH-19955</w:t>
            </w:r>
          </w:p>
        </w:tc>
        <w:tc>
          <w:tcPr>
            <w:tcW w:w="2820" w:type="dxa"/>
            <w:tcBorders>
              <w:top w:val="nil"/>
              <w:left w:val="nil"/>
              <w:bottom w:val="single" w:sz="8" w:space="0" w:color="auto"/>
              <w:right w:val="single" w:sz="8" w:space="0" w:color="auto"/>
            </w:tcBorders>
            <w:shd w:val="clear" w:color="auto" w:fill="auto"/>
            <w:vAlign w:val="center"/>
            <w:hideMark/>
          </w:tcPr>
          <w:p w14:paraId="2563D53E"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M001</w:t>
            </w:r>
          </w:p>
        </w:tc>
        <w:tc>
          <w:tcPr>
            <w:tcW w:w="1280" w:type="dxa"/>
            <w:tcBorders>
              <w:top w:val="nil"/>
              <w:left w:val="nil"/>
              <w:bottom w:val="single" w:sz="8" w:space="0" w:color="auto"/>
              <w:right w:val="single" w:sz="8" w:space="0" w:color="auto"/>
            </w:tcBorders>
            <w:shd w:val="clear" w:color="auto" w:fill="auto"/>
            <w:vAlign w:val="center"/>
            <w:hideMark/>
          </w:tcPr>
          <w:p w14:paraId="01F8733C" w14:textId="77777777" w:rsidR="005C5688" w:rsidRPr="005C5688" w:rsidRDefault="005C5688" w:rsidP="005C5688">
            <w:pPr>
              <w:rPr>
                <w:rFonts w:ascii="Calibri" w:hAnsi="Calibri"/>
                <w:color w:val="000000"/>
                <w:sz w:val="20"/>
                <w:szCs w:val="20"/>
              </w:rPr>
            </w:pPr>
            <w:r>
              <w:rPr>
                <w:rFonts w:ascii="Calibri" w:hAnsi="Calibri"/>
                <w:color w:val="000000"/>
                <w:sz w:val="20"/>
                <w:szCs w:val="20"/>
              </w:rPr>
              <w:t xml:space="preserve"> $</w:t>
            </w:r>
            <w:r w:rsidRPr="005C5688">
              <w:rPr>
                <w:rFonts w:ascii="Calibri" w:hAnsi="Calibri"/>
                <w:color w:val="000000"/>
                <w:sz w:val="20"/>
                <w:szCs w:val="20"/>
              </w:rPr>
              <w:t xml:space="preserve">1,339.25 </w:t>
            </w:r>
          </w:p>
        </w:tc>
        <w:tc>
          <w:tcPr>
            <w:tcW w:w="960" w:type="dxa"/>
            <w:tcBorders>
              <w:top w:val="nil"/>
              <w:left w:val="nil"/>
              <w:bottom w:val="single" w:sz="8" w:space="0" w:color="auto"/>
              <w:right w:val="single" w:sz="8" w:space="0" w:color="auto"/>
            </w:tcBorders>
            <w:shd w:val="clear" w:color="auto" w:fill="auto"/>
            <w:vAlign w:val="center"/>
            <w:hideMark/>
          </w:tcPr>
          <w:p w14:paraId="336971C1"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6F3DD25A"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$1,670.01 </w:t>
            </w:r>
          </w:p>
        </w:tc>
      </w:tr>
      <w:tr w:rsidR="005C5688" w:rsidRPr="005C5688" w14:paraId="25E7125D"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0B687BB4"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WH-19956</w:t>
            </w:r>
          </w:p>
        </w:tc>
        <w:tc>
          <w:tcPr>
            <w:tcW w:w="2820" w:type="dxa"/>
            <w:tcBorders>
              <w:top w:val="nil"/>
              <w:left w:val="nil"/>
              <w:bottom w:val="single" w:sz="8" w:space="0" w:color="auto"/>
              <w:right w:val="single" w:sz="8" w:space="0" w:color="auto"/>
            </w:tcBorders>
            <w:shd w:val="clear" w:color="auto" w:fill="auto"/>
            <w:vAlign w:val="center"/>
            <w:hideMark/>
          </w:tcPr>
          <w:p w14:paraId="425E550C"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M002</w:t>
            </w:r>
          </w:p>
        </w:tc>
        <w:tc>
          <w:tcPr>
            <w:tcW w:w="1280" w:type="dxa"/>
            <w:tcBorders>
              <w:top w:val="nil"/>
              <w:left w:val="nil"/>
              <w:bottom w:val="single" w:sz="8" w:space="0" w:color="auto"/>
              <w:right w:val="single" w:sz="8" w:space="0" w:color="auto"/>
            </w:tcBorders>
            <w:shd w:val="clear" w:color="auto" w:fill="auto"/>
            <w:vAlign w:val="center"/>
            <w:hideMark/>
          </w:tcPr>
          <w:p w14:paraId="37F19117"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$1,199.00 </w:t>
            </w:r>
          </w:p>
        </w:tc>
        <w:tc>
          <w:tcPr>
            <w:tcW w:w="960" w:type="dxa"/>
            <w:tcBorders>
              <w:top w:val="nil"/>
              <w:left w:val="nil"/>
              <w:bottom w:val="single" w:sz="8" w:space="0" w:color="auto"/>
              <w:right w:val="single" w:sz="8" w:space="0" w:color="auto"/>
            </w:tcBorders>
            <w:shd w:val="clear" w:color="auto" w:fill="auto"/>
            <w:vAlign w:val="center"/>
            <w:hideMark/>
          </w:tcPr>
          <w:p w14:paraId="4957F021"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4DA3F47C"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$1,529.76 </w:t>
            </w:r>
          </w:p>
        </w:tc>
      </w:tr>
      <w:tr w:rsidR="005C5688" w:rsidRPr="005C5688" w14:paraId="751A0F68"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2CB8410B"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WH-19957</w:t>
            </w:r>
          </w:p>
        </w:tc>
        <w:tc>
          <w:tcPr>
            <w:tcW w:w="2820" w:type="dxa"/>
            <w:tcBorders>
              <w:top w:val="nil"/>
              <w:left w:val="nil"/>
              <w:bottom w:val="single" w:sz="8" w:space="0" w:color="auto"/>
              <w:right w:val="single" w:sz="8" w:space="0" w:color="auto"/>
            </w:tcBorders>
            <w:shd w:val="clear" w:color="auto" w:fill="auto"/>
            <w:vAlign w:val="center"/>
            <w:hideMark/>
          </w:tcPr>
          <w:p w14:paraId="33A412DF"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M001</w:t>
            </w:r>
          </w:p>
        </w:tc>
        <w:tc>
          <w:tcPr>
            <w:tcW w:w="1280" w:type="dxa"/>
            <w:tcBorders>
              <w:top w:val="nil"/>
              <w:left w:val="nil"/>
              <w:bottom w:val="single" w:sz="8" w:space="0" w:color="auto"/>
              <w:right w:val="single" w:sz="8" w:space="0" w:color="auto"/>
            </w:tcBorders>
            <w:shd w:val="clear" w:color="auto" w:fill="auto"/>
            <w:vAlign w:val="center"/>
            <w:hideMark/>
          </w:tcPr>
          <w:p w14:paraId="3874C09D"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$1,339.25 </w:t>
            </w:r>
          </w:p>
        </w:tc>
        <w:tc>
          <w:tcPr>
            <w:tcW w:w="960" w:type="dxa"/>
            <w:tcBorders>
              <w:top w:val="nil"/>
              <w:left w:val="nil"/>
              <w:bottom w:val="single" w:sz="8" w:space="0" w:color="auto"/>
              <w:right w:val="single" w:sz="8" w:space="0" w:color="auto"/>
            </w:tcBorders>
            <w:shd w:val="clear" w:color="auto" w:fill="auto"/>
            <w:vAlign w:val="center"/>
            <w:hideMark/>
          </w:tcPr>
          <w:p w14:paraId="720E2B70"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24A550D0"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$1,670.01 </w:t>
            </w:r>
          </w:p>
        </w:tc>
      </w:tr>
      <w:tr w:rsidR="005C5688" w:rsidRPr="005C5688" w14:paraId="160E518F"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03CDEC71"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WH-19958</w:t>
            </w:r>
          </w:p>
        </w:tc>
        <w:tc>
          <w:tcPr>
            <w:tcW w:w="2820" w:type="dxa"/>
            <w:tcBorders>
              <w:top w:val="nil"/>
              <w:left w:val="nil"/>
              <w:bottom w:val="single" w:sz="8" w:space="0" w:color="auto"/>
              <w:right w:val="single" w:sz="8" w:space="0" w:color="auto"/>
            </w:tcBorders>
            <w:shd w:val="clear" w:color="auto" w:fill="auto"/>
            <w:vAlign w:val="center"/>
            <w:hideMark/>
          </w:tcPr>
          <w:p w14:paraId="0DF44EA5"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M002</w:t>
            </w:r>
          </w:p>
        </w:tc>
        <w:tc>
          <w:tcPr>
            <w:tcW w:w="1280" w:type="dxa"/>
            <w:tcBorders>
              <w:top w:val="nil"/>
              <w:left w:val="nil"/>
              <w:bottom w:val="single" w:sz="8" w:space="0" w:color="auto"/>
              <w:right w:val="single" w:sz="8" w:space="0" w:color="auto"/>
            </w:tcBorders>
            <w:shd w:val="clear" w:color="auto" w:fill="auto"/>
            <w:vAlign w:val="center"/>
            <w:hideMark/>
          </w:tcPr>
          <w:p w14:paraId="7079CE21"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$1,199.00 </w:t>
            </w:r>
          </w:p>
        </w:tc>
        <w:tc>
          <w:tcPr>
            <w:tcW w:w="960" w:type="dxa"/>
            <w:tcBorders>
              <w:top w:val="nil"/>
              <w:left w:val="nil"/>
              <w:bottom w:val="single" w:sz="8" w:space="0" w:color="auto"/>
              <w:right w:val="single" w:sz="8" w:space="0" w:color="auto"/>
            </w:tcBorders>
            <w:shd w:val="clear" w:color="auto" w:fill="auto"/>
            <w:vAlign w:val="center"/>
            <w:hideMark/>
          </w:tcPr>
          <w:p w14:paraId="0BE5BF0E"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07DF2154"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$1,529.76 </w:t>
            </w:r>
          </w:p>
        </w:tc>
      </w:tr>
      <w:tr w:rsidR="005C5688" w:rsidRPr="005C5688" w14:paraId="014A2CD5"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3E5B9DB6"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WH-19959</w:t>
            </w:r>
          </w:p>
        </w:tc>
        <w:tc>
          <w:tcPr>
            <w:tcW w:w="2820" w:type="dxa"/>
            <w:tcBorders>
              <w:top w:val="nil"/>
              <w:left w:val="nil"/>
              <w:bottom w:val="single" w:sz="8" w:space="0" w:color="auto"/>
              <w:right w:val="single" w:sz="8" w:space="0" w:color="auto"/>
            </w:tcBorders>
            <w:shd w:val="clear" w:color="auto" w:fill="auto"/>
            <w:vAlign w:val="center"/>
            <w:hideMark/>
          </w:tcPr>
          <w:p w14:paraId="5BBE22E3"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M001</w:t>
            </w:r>
          </w:p>
        </w:tc>
        <w:tc>
          <w:tcPr>
            <w:tcW w:w="1280" w:type="dxa"/>
            <w:tcBorders>
              <w:top w:val="nil"/>
              <w:left w:val="nil"/>
              <w:bottom w:val="single" w:sz="8" w:space="0" w:color="auto"/>
              <w:right w:val="single" w:sz="8" w:space="0" w:color="auto"/>
            </w:tcBorders>
            <w:shd w:val="clear" w:color="auto" w:fill="auto"/>
            <w:vAlign w:val="center"/>
            <w:hideMark/>
          </w:tcPr>
          <w:p w14:paraId="284D3B27"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$1,339.25 </w:t>
            </w:r>
          </w:p>
        </w:tc>
        <w:tc>
          <w:tcPr>
            <w:tcW w:w="960" w:type="dxa"/>
            <w:tcBorders>
              <w:top w:val="nil"/>
              <w:left w:val="nil"/>
              <w:bottom w:val="single" w:sz="8" w:space="0" w:color="auto"/>
              <w:right w:val="single" w:sz="8" w:space="0" w:color="auto"/>
            </w:tcBorders>
            <w:shd w:val="clear" w:color="auto" w:fill="auto"/>
            <w:vAlign w:val="center"/>
            <w:hideMark/>
          </w:tcPr>
          <w:p w14:paraId="35E31518"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63AD0FF6"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$1,670.01 </w:t>
            </w:r>
          </w:p>
        </w:tc>
      </w:tr>
      <w:tr w:rsidR="005C5688" w:rsidRPr="005C5688" w14:paraId="45FD93FD"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15A6A067"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WH-19960</w:t>
            </w:r>
          </w:p>
        </w:tc>
        <w:tc>
          <w:tcPr>
            <w:tcW w:w="2820" w:type="dxa"/>
            <w:tcBorders>
              <w:top w:val="nil"/>
              <w:left w:val="nil"/>
              <w:bottom w:val="single" w:sz="8" w:space="0" w:color="auto"/>
              <w:right w:val="single" w:sz="8" w:space="0" w:color="auto"/>
            </w:tcBorders>
            <w:shd w:val="clear" w:color="auto" w:fill="auto"/>
            <w:vAlign w:val="center"/>
            <w:hideMark/>
          </w:tcPr>
          <w:p w14:paraId="34644BAA"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M002</w:t>
            </w:r>
          </w:p>
        </w:tc>
        <w:tc>
          <w:tcPr>
            <w:tcW w:w="1280" w:type="dxa"/>
            <w:tcBorders>
              <w:top w:val="nil"/>
              <w:left w:val="nil"/>
              <w:bottom w:val="single" w:sz="8" w:space="0" w:color="auto"/>
              <w:right w:val="single" w:sz="8" w:space="0" w:color="auto"/>
            </w:tcBorders>
            <w:shd w:val="clear" w:color="auto" w:fill="auto"/>
            <w:vAlign w:val="center"/>
            <w:hideMark/>
          </w:tcPr>
          <w:p w14:paraId="06B7793D"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$1,199.00 </w:t>
            </w:r>
          </w:p>
        </w:tc>
        <w:tc>
          <w:tcPr>
            <w:tcW w:w="960" w:type="dxa"/>
            <w:tcBorders>
              <w:top w:val="nil"/>
              <w:left w:val="nil"/>
              <w:bottom w:val="single" w:sz="8" w:space="0" w:color="auto"/>
              <w:right w:val="single" w:sz="8" w:space="0" w:color="auto"/>
            </w:tcBorders>
            <w:shd w:val="clear" w:color="auto" w:fill="auto"/>
            <w:vAlign w:val="center"/>
            <w:hideMark/>
          </w:tcPr>
          <w:p w14:paraId="47B2C508"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$330.76 </w:t>
            </w:r>
          </w:p>
        </w:tc>
        <w:tc>
          <w:tcPr>
            <w:tcW w:w="1300" w:type="dxa"/>
            <w:tcBorders>
              <w:top w:val="nil"/>
              <w:left w:val="nil"/>
              <w:bottom w:val="single" w:sz="8" w:space="0" w:color="auto"/>
              <w:right w:val="single" w:sz="8" w:space="0" w:color="auto"/>
            </w:tcBorders>
            <w:shd w:val="clear" w:color="auto" w:fill="auto"/>
            <w:vAlign w:val="center"/>
            <w:hideMark/>
          </w:tcPr>
          <w:p w14:paraId="303D9804"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$1,529.76 </w:t>
            </w:r>
          </w:p>
        </w:tc>
      </w:tr>
      <w:tr w:rsidR="005C5688" w:rsidRPr="005C5688" w14:paraId="58874288"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2C233624"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WH-19961</w:t>
            </w:r>
          </w:p>
        </w:tc>
        <w:tc>
          <w:tcPr>
            <w:tcW w:w="2820" w:type="dxa"/>
            <w:tcBorders>
              <w:top w:val="nil"/>
              <w:left w:val="nil"/>
              <w:bottom w:val="single" w:sz="8" w:space="0" w:color="auto"/>
              <w:right w:val="single" w:sz="8" w:space="0" w:color="auto"/>
            </w:tcBorders>
            <w:shd w:val="clear" w:color="auto" w:fill="auto"/>
            <w:vAlign w:val="center"/>
            <w:hideMark/>
          </w:tcPr>
          <w:p w14:paraId="5DE0C5C3"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w:t>
            </w:r>
            <w:r w:rsidR="009C7E2E">
              <w:rPr>
                <w:rFonts w:ascii="Calibri" w:hAnsi="Calibri"/>
                <w:color w:val="000000"/>
                <w:sz w:val="20"/>
                <w:szCs w:val="20"/>
              </w:rPr>
              <w:t>_02_</w:t>
            </w:r>
            <w:r w:rsidRPr="005C5688">
              <w:rPr>
                <w:rFonts w:ascii="Calibri" w:hAnsi="Calibri"/>
                <w:color w:val="000000"/>
                <w:sz w:val="20"/>
                <w:szCs w:val="20"/>
              </w:rPr>
              <w:t>M003</w:t>
            </w:r>
          </w:p>
        </w:tc>
        <w:tc>
          <w:tcPr>
            <w:tcW w:w="1280" w:type="dxa"/>
            <w:tcBorders>
              <w:top w:val="nil"/>
              <w:left w:val="nil"/>
              <w:bottom w:val="single" w:sz="8" w:space="0" w:color="auto"/>
              <w:right w:val="single" w:sz="8" w:space="0" w:color="auto"/>
            </w:tcBorders>
            <w:shd w:val="clear" w:color="auto" w:fill="auto"/>
            <w:vAlign w:val="center"/>
            <w:hideMark/>
          </w:tcPr>
          <w:p w14:paraId="130FBD02"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$1,699.00 </w:t>
            </w:r>
          </w:p>
        </w:tc>
        <w:tc>
          <w:tcPr>
            <w:tcW w:w="960" w:type="dxa"/>
            <w:tcBorders>
              <w:top w:val="nil"/>
              <w:left w:val="nil"/>
              <w:bottom w:val="single" w:sz="8" w:space="0" w:color="auto"/>
              <w:right w:val="single" w:sz="8" w:space="0" w:color="auto"/>
            </w:tcBorders>
            <w:shd w:val="clear" w:color="auto" w:fill="auto"/>
            <w:vAlign w:val="center"/>
            <w:hideMark/>
          </w:tcPr>
          <w:p w14:paraId="5DD2B02B"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$34</w:t>
            </w:r>
            <w:r w:rsidR="005C4B38">
              <w:rPr>
                <w:rFonts w:ascii="Calibri" w:hAnsi="Calibri"/>
                <w:color w:val="000000"/>
                <w:sz w:val="20"/>
                <w:szCs w:val="20"/>
              </w:rPr>
              <w:t>8</w:t>
            </w:r>
            <w:r w:rsidRPr="005C5688">
              <w:rPr>
                <w:rFonts w:ascii="Calibri" w:hAnsi="Calibri"/>
                <w:color w:val="000000"/>
                <w:sz w:val="20"/>
                <w:szCs w:val="20"/>
              </w:rPr>
              <w:t xml:space="preserve">.41 </w:t>
            </w:r>
          </w:p>
        </w:tc>
        <w:tc>
          <w:tcPr>
            <w:tcW w:w="1300" w:type="dxa"/>
            <w:tcBorders>
              <w:top w:val="nil"/>
              <w:left w:val="nil"/>
              <w:bottom w:val="single" w:sz="8" w:space="0" w:color="auto"/>
              <w:right w:val="single" w:sz="8" w:space="0" w:color="auto"/>
            </w:tcBorders>
            <w:shd w:val="clear" w:color="auto" w:fill="auto"/>
            <w:vAlign w:val="center"/>
            <w:hideMark/>
          </w:tcPr>
          <w:p w14:paraId="76BD5588"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$2,04</w:t>
            </w:r>
            <w:r w:rsidR="005C4B38">
              <w:rPr>
                <w:rFonts w:ascii="Calibri" w:hAnsi="Calibri"/>
                <w:color w:val="000000"/>
                <w:sz w:val="20"/>
                <w:szCs w:val="20"/>
              </w:rPr>
              <w:t>7</w:t>
            </w:r>
            <w:r w:rsidRPr="005C5688">
              <w:rPr>
                <w:rFonts w:ascii="Calibri" w:hAnsi="Calibri"/>
                <w:color w:val="000000"/>
                <w:sz w:val="20"/>
                <w:szCs w:val="20"/>
              </w:rPr>
              <w:t xml:space="preserve">.41 </w:t>
            </w:r>
          </w:p>
        </w:tc>
      </w:tr>
      <w:tr w:rsidR="005C5688" w:rsidRPr="005C5688" w14:paraId="37EB0F24" w14:textId="77777777" w:rsidTr="005C5688">
        <w:trPr>
          <w:trHeight w:val="315"/>
        </w:trPr>
        <w:tc>
          <w:tcPr>
            <w:tcW w:w="2820" w:type="dxa"/>
            <w:tcBorders>
              <w:top w:val="nil"/>
              <w:left w:val="single" w:sz="8" w:space="0" w:color="auto"/>
              <w:bottom w:val="single" w:sz="8" w:space="0" w:color="auto"/>
              <w:right w:val="single" w:sz="8" w:space="0" w:color="auto"/>
            </w:tcBorders>
            <w:shd w:val="clear" w:color="auto" w:fill="auto"/>
            <w:vAlign w:val="center"/>
            <w:hideMark/>
          </w:tcPr>
          <w:p w14:paraId="58104C9F"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WH-19962</w:t>
            </w:r>
          </w:p>
        </w:tc>
        <w:tc>
          <w:tcPr>
            <w:tcW w:w="2820" w:type="dxa"/>
            <w:tcBorders>
              <w:top w:val="nil"/>
              <w:left w:val="nil"/>
              <w:bottom w:val="single" w:sz="8" w:space="0" w:color="auto"/>
              <w:right w:val="single" w:sz="8" w:space="0" w:color="auto"/>
            </w:tcBorders>
            <w:shd w:val="clear" w:color="auto" w:fill="auto"/>
            <w:vAlign w:val="center"/>
            <w:hideMark/>
          </w:tcPr>
          <w:p w14:paraId="04585B36"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SCE17WH001_00_M004</w:t>
            </w:r>
          </w:p>
        </w:tc>
        <w:tc>
          <w:tcPr>
            <w:tcW w:w="1280" w:type="dxa"/>
            <w:tcBorders>
              <w:top w:val="nil"/>
              <w:left w:val="nil"/>
              <w:bottom w:val="single" w:sz="8" w:space="0" w:color="auto"/>
              <w:right w:val="single" w:sz="8" w:space="0" w:color="auto"/>
            </w:tcBorders>
            <w:shd w:val="clear" w:color="auto" w:fill="auto"/>
            <w:vAlign w:val="center"/>
            <w:hideMark/>
          </w:tcPr>
          <w:p w14:paraId="4CAFEC3A"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$1,899.00 </w:t>
            </w:r>
          </w:p>
        </w:tc>
        <w:tc>
          <w:tcPr>
            <w:tcW w:w="960" w:type="dxa"/>
            <w:tcBorders>
              <w:top w:val="nil"/>
              <w:left w:val="nil"/>
              <w:bottom w:val="single" w:sz="8" w:space="0" w:color="auto"/>
              <w:right w:val="single" w:sz="8" w:space="0" w:color="auto"/>
            </w:tcBorders>
            <w:shd w:val="clear" w:color="auto" w:fill="auto"/>
            <w:vAlign w:val="center"/>
            <w:hideMark/>
          </w:tcPr>
          <w:p w14:paraId="14063D19"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w:t>
            </w:r>
            <w:r>
              <w:rPr>
                <w:rFonts w:ascii="Calibri" w:hAnsi="Calibri"/>
                <w:color w:val="000000"/>
                <w:sz w:val="20"/>
                <w:szCs w:val="20"/>
              </w:rPr>
              <w:t>3</w:t>
            </w:r>
            <w:r w:rsidRPr="005C5688">
              <w:rPr>
                <w:rFonts w:ascii="Calibri" w:hAnsi="Calibri"/>
                <w:color w:val="000000"/>
                <w:sz w:val="20"/>
                <w:szCs w:val="20"/>
              </w:rPr>
              <w:t xml:space="preserve">74.87 </w:t>
            </w:r>
          </w:p>
        </w:tc>
        <w:tc>
          <w:tcPr>
            <w:tcW w:w="1300" w:type="dxa"/>
            <w:tcBorders>
              <w:top w:val="nil"/>
              <w:left w:val="nil"/>
              <w:bottom w:val="single" w:sz="8" w:space="0" w:color="auto"/>
              <w:right w:val="single" w:sz="8" w:space="0" w:color="auto"/>
            </w:tcBorders>
            <w:shd w:val="clear" w:color="auto" w:fill="auto"/>
            <w:vAlign w:val="center"/>
            <w:hideMark/>
          </w:tcPr>
          <w:p w14:paraId="4E629B42"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$2,273.87 </w:t>
            </w:r>
          </w:p>
        </w:tc>
      </w:tr>
    </w:tbl>
    <w:p w14:paraId="4FB09B96" w14:textId="77777777" w:rsidR="005C5688" w:rsidRDefault="005C5688" w:rsidP="004D486C">
      <w:pPr>
        <w:rPr>
          <w:rFonts w:cstheme="minorHAnsi"/>
          <w:b/>
          <w:bCs/>
          <w:iCs/>
          <w:smallCaps/>
          <w:sz w:val="28"/>
          <w:szCs w:val="28"/>
        </w:rPr>
      </w:pPr>
    </w:p>
    <w:p w14:paraId="454DBC95" w14:textId="77777777" w:rsidR="00182F6B" w:rsidRPr="00182F6B" w:rsidRDefault="00182F6B" w:rsidP="004D486C">
      <w:pPr>
        <w:rPr>
          <w:rFonts w:cstheme="minorHAnsi"/>
          <w:b/>
          <w:bCs/>
          <w:iCs/>
          <w:smallCaps/>
          <w:sz w:val="28"/>
          <w:szCs w:val="28"/>
        </w:rPr>
      </w:pPr>
      <w:r w:rsidRPr="00182F6B">
        <w:rPr>
          <w:rFonts w:cstheme="minorHAnsi"/>
          <w:b/>
          <w:bCs/>
          <w:iCs/>
          <w:smallCaps/>
          <w:sz w:val="28"/>
          <w:szCs w:val="28"/>
        </w:rPr>
        <w:t>4.3 Full and Incremental Measure Cost</w:t>
      </w:r>
    </w:p>
    <w:p w14:paraId="524879F8" w14:textId="77777777" w:rsidR="00182F6B" w:rsidRPr="00182F6B" w:rsidRDefault="00182F6B" w:rsidP="00182F6B">
      <w:r w:rsidRPr="00182F6B">
        <w:rPr>
          <w:b/>
        </w:rPr>
        <w:t>Full and Incremental Measure Cost Equations</w:t>
      </w:r>
    </w:p>
    <w:tbl>
      <w:tblPr>
        <w:tblStyle w:val="TableGrid16"/>
        <w:tblW w:w="5000" w:type="pct"/>
        <w:tblLook w:val="01E0" w:firstRow="1" w:lastRow="1" w:firstColumn="1" w:lastColumn="1" w:noHBand="0" w:noVBand="0"/>
      </w:tblPr>
      <w:tblGrid>
        <w:gridCol w:w="1257"/>
        <w:gridCol w:w="2698"/>
        <w:gridCol w:w="2611"/>
        <w:gridCol w:w="2784"/>
      </w:tblGrid>
      <w:tr w:rsidR="00182F6B" w:rsidRPr="00182F6B" w14:paraId="7192AA2A" w14:textId="77777777" w:rsidTr="00266FB8">
        <w:tc>
          <w:tcPr>
            <w:tcW w:w="672" w:type="pct"/>
            <w:vMerge w:val="restart"/>
            <w:shd w:val="clear" w:color="auto" w:fill="D9D9D9" w:themeFill="background1" w:themeFillShade="D9"/>
          </w:tcPr>
          <w:p w14:paraId="417BF0C4" w14:textId="77777777" w:rsidR="00182F6B" w:rsidRPr="00182F6B" w:rsidRDefault="00182F6B" w:rsidP="00182F6B">
            <w:pPr>
              <w:rPr>
                <w:rFonts w:cstheme="minorHAnsi"/>
                <w:b/>
                <w:szCs w:val="20"/>
                <w:highlight w:val="yellow"/>
              </w:rPr>
            </w:pPr>
            <w:r w:rsidRPr="00182F6B">
              <w:rPr>
                <w:rFonts w:cstheme="minorHAnsi"/>
                <w:b/>
                <w:szCs w:val="20"/>
              </w:rPr>
              <w:t>Installation Type</w:t>
            </w:r>
          </w:p>
        </w:tc>
        <w:tc>
          <w:tcPr>
            <w:tcW w:w="1443" w:type="pct"/>
            <w:vMerge w:val="restart"/>
            <w:shd w:val="clear" w:color="auto" w:fill="D9D9D9" w:themeFill="background1" w:themeFillShade="D9"/>
          </w:tcPr>
          <w:p w14:paraId="4AD06898" w14:textId="77777777" w:rsidR="00182F6B" w:rsidRPr="00182F6B" w:rsidRDefault="00182F6B" w:rsidP="00182F6B">
            <w:pPr>
              <w:rPr>
                <w:rFonts w:cstheme="minorHAnsi"/>
                <w:b/>
                <w:szCs w:val="20"/>
              </w:rPr>
            </w:pPr>
            <w:r w:rsidRPr="00182F6B">
              <w:rPr>
                <w:rFonts w:cstheme="minorHAnsi"/>
                <w:b/>
                <w:szCs w:val="20"/>
              </w:rPr>
              <w:t>Incremental Measure Cost</w:t>
            </w:r>
          </w:p>
        </w:tc>
        <w:tc>
          <w:tcPr>
            <w:tcW w:w="2885" w:type="pct"/>
            <w:gridSpan w:val="2"/>
            <w:shd w:val="clear" w:color="auto" w:fill="D9D9D9" w:themeFill="background1" w:themeFillShade="D9"/>
          </w:tcPr>
          <w:p w14:paraId="38495D72" w14:textId="77777777" w:rsidR="00182F6B" w:rsidRPr="00182F6B" w:rsidRDefault="00182F6B" w:rsidP="00182F6B">
            <w:pPr>
              <w:rPr>
                <w:rFonts w:cstheme="minorHAnsi"/>
                <w:b/>
                <w:szCs w:val="20"/>
                <w:highlight w:val="yellow"/>
              </w:rPr>
            </w:pPr>
            <w:r w:rsidRPr="00182F6B">
              <w:rPr>
                <w:rFonts w:cstheme="minorHAnsi"/>
                <w:b/>
                <w:szCs w:val="20"/>
              </w:rPr>
              <w:t>Full Measure Cost</w:t>
            </w:r>
          </w:p>
        </w:tc>
      </w:tr>
      <w:tr w:rsidR="00182F6B" w:rsidRPr="00182F6B" w14:paraId="5A2DC32C" w14:textId="77777777" w:rsidTr="00266FB8">
        <w:tc>
          <w:tcPr>
            <w:tcW w:w="672" w:type="pct"/>
            <w:vMerge/>
            <w:shd w:val="clear" w:color="auto" w:fill="D9D9D9" w:themeFill="background1" w:themeFillShade="D9"/>
          </w:tcPr>
          <w:p w14:paraId="2296FF9A" w14:textId="77777777" w:rsidR="00182F6B" w:rsidRPr="00182F6B" w:rsidRDefault="00182F6B" w:rsidP="00182F6B">
            <w:pPr>
              <w:rPr>
                <w:rFonts w:cstheme="minorHAnsi"/>
                <w:b/>
                <w:szCs w:val="20"/>
              </w:rPr>
            </w:pPr>
          </w:p>
        </w:tc>
        <w:tc>
          <w:tcPr>
            <w:tcW w:w="1443" w:type="pct"/>
            <w:vMerge/>
            <w:shd w:val="clear" w:color="auto" w:fill="D9D9D9" w:themeFill="background1" w:themeFillShade="D9"/>
          </w:tcPr>
          <w:p w14:paraId="15D8719E" w14:textId="77777777" w:rsidR="00182F6B" w:rsidRPr="00182F6B" w:rsidRDefault="00182F6B" w:rsidP="00182F6B">
            <w:pPr>
              <w:rPr>
                <w:rFonts w:cstheme="minorHAnsi"/>
                <w:b/>
                <w:szCs w:val="20"/>
              </w:rPr>
            </w:pPr>
          </w:p>
        </w:tc>
        <w:tc>
          <w:tcPr>
            <w:tcW w:w="1396" w:type="pct"/>
            <w:shd w:val="clear" w:color="auto" w:fill="F2F2F2" w:themeFill="background1" w:themeFillShade="F2"/>
          </w:tcPr>
          <w:p w14:paraId="2B8B767E" w14:textId="77777777" w:rsidR="00182F6B" w:rsidRPr="00182F6B" w:rsidRDefault="00182F6B" w:rsidP="00182F6B">
            <w:pPr>
              <w:rPr>
                <w:rFonts w:cstheme="minorHAnsi"/>
                <w:b/>
                <w:szCs w:val="20"/>
              </w:rPr>
            </w:pPr>
            <w:r w:rsidRPr="00182F6B">
              <w:rPr>
                <w:rFonts w:cstheme="minorHAnsi"/>
                <w:b/>
                <w:szCs w:val="20"/>
              </w:rPr>
              <w:t>1</w:t>
            </w:r>
            <w:r w:rsidRPr="00182F6B">
              <w:rPr>
                <w:rFonts w:cstheme="minorHAnsi"/>
                <w:b/>
                <w:szCs w:val="20"/>
                <w:vertAlign w:val="superscript"/>
              </w:rPr>
              <w:t>st</w:t>
            </w:r>
            <w:r w:rsidRPr="00182F6B">
              <w:rPr>
                <w:rFonts w:cstheme="minorHAnsi"/>
                <w:b/>
                <w:szCs w:val="20"/>
              </w:rPr>
              <w:t xml:space="preserve"> Baseline</w:t>
            </w:r>
          </w:p>
        </w:tc>
        <w:tc>
          <w:tcPr>
            <w:tcW w:w="1489" w:type="pct"/>
            <w:shd w:val="clear" w:color="auto" w:fill="F2F2F2" w:themeFill="background1" w:themeFillShade="F2"/>
          </w:tcPr>
          <w:p w14:paraId="204D8D2D" w14:textId="77777777" w:rsidR="00182F6B" w:rsidRPr="00182F6B" w:rsidRDefault="00182F6B" w:rsidP="00182F6B">
            <w:pPr>
              <w:rPr>
                <w:rFonts w:cstheme="minorHAnsi"/>
                <w:b/>
                <w:szCs w:val="20"/>
              </w:rPr>
            </w:pPr>
            <w:r w:rsidRPr="00182F6B">
              <w:rPr>
                <w:rFonts w:cstheme="minorHAnsi"/>
                <w:b/>
                <w:szCs w:val="20"/>
              </w:rPr>
              <w:t>2</w:t>
            </w:r>
            <w:r w:rsidRPr="00182F6B">
              <w:rPr>
                <w:rFonts w:cstheme="minorHAnsi"/>
                <w:b/>
                <w:szCs w:val="20"/>
                <w:vertAlign w:val="superscript"/>
              </w:rPr>
              <w:t>nd</w:t>
            </w:r>
            <w:r w:rsidRPr="00182F6B">
              <w:rPr>
                <w:rFonts w:cstheme="minorHAnsi"/>
                <w:b/>
                <w:szCs w:val="20"/>
              </w:rPr>
              <w:t xml:space="preserve"> Baseline</w:t>
            </w:r>
          </w:p>
        </w:tc>
      </w:tr>
      <w:tr w:rsidR="00182F6B" w:rsidRPr="00182F6B" w14:paraId="7B55DECE" w14:textId="77777777" w:rsidTr="00182F6B">
        <w:tc>
          <w:tcPr>
            <w:tcW w:w="672" w:type="pct"/>
          </w:tcPr>
          <w:p w14:paraId="28A5684C" w14:textId="77777777" w:rsidR="00182F6B" w:rsidRPr="00182F6B" w:rsidRDefault="00182F6B" w:rsidP="00182F6B">
            <w:pPr>
              <w:rPr>
                <w:rFonts w:cstheme="minorHAnsi"/>
                <w:szCs w:val="20"/>
              </w:rPr>
            </w:pPr>
            <w:r w:rsidRPr="00182F6B">
              <w:rPr>
                <w:rFonts w:cstheme="minorHAnsi"/>
                <w:szCs w:val="20"/>
              </w:rPr>
              <w:t>ROB</w:t>
            </w:r>
          </w:p>
        </w:tc>
        <w:tc>
          <w:tcPr>
            <w:tcW w:w="1443" w:type="pct"/>
          </w:tcPr>
          <w:p w14:paraId="6C9EE201" w14:textId="77777777" w:rsidR="00182F6B" w:rsidRPr="00182F6B" w:rsidRDefault="00182F6B" w:rsidP="00182F6B">
            <w:pPr>
              <w:rPr>
                <w:rFonts w:cstheme="minorHAnsi"/>
                <w:szCs w:val="20"/>
              </w:rPr>
            </w:pPr>
            <w:r w:rsidRPr="00182F6B">
              <w:rPr>
                <w:rFonts w:cstheme="minorHAnsi"/>
                <w:szCs w:val="20"/>
              </w:rPr>
              <w:t>(MEC + MLC) – (BEC + BLC)</w:t>
            </w:r>
          </w:p>
        </w:tc>
        <w:tc>
          <w:tcPr>
            <w:tcW w:w="1396" w:type="pct"/>
          </w:tcPr>
          <w:p w14:paraId="26513B9F" w14:textId="77777777" w:rsidR="00182F6B" w:rsidRPr="00182F6B" w:rsidRDefault="00182F6B" w:rsidP="00182F6B">
            <w:pPr>
              <w:rPr>
                <w:rFonts w:cstheme="minorHAnsi"/>
                <w:szCs w:val="20"/>
              </w:rPr>
            </w:pPr>
            <w:r w:rsidRPr="00182F6B">
              <w:rPr>
                <w:rFonts w:cstheme="minorHAnsi"/>
                <w:szCs w:val="20"/>
              </w:rPr>
              <w:t>(MEC + MLC) – (BEC + BLC)</w:t>
            </w:r>
          </w:p>
        </w:tc>
        <w:tc>
          <w:tcPr>
            <w:tcW w:w="1489" w:type="pct"/>
          </w:tcPr>
          <w:p w14:paraId="156914F6" w14:textId="77777777" w:rsidR="00182F6B" w:rsidRPr="00182F6B" w:rsidRDefault="00182F6B" w:rsidP="00182F6B">
            <w:pPr>
              <w:rPr>
                <w:rFonts w:cstheme="minorHAnsi"/>
                <w:szCs w:val="20"/>
              </w:rPr>
            </w:pPr>
            <w:r w:rsidRPr="00182F6B">
              <w:rPr>
                <w:rFonts w:cstheme="minorHAnsi"/>
                <w:szCs w:val="20"/>
              </w:rPr>
              <w:t>N/A</w:t>
            </w:r>
          </w:p>
        </w:tc>
      </w:tr>
    </w:tbl>
    <w:p w14:paraId="285182F1" w14:textId="77777777" w:rsidR="00182F6B" w:rsidRPr="00182F6B" w:rsidRDefault="00182F6B" w:rsidP="00182F6B">
      <w:pPr>
        <w:rPr>
          <w:sz w:val="20"/>
          <w:szCs w:val="20"/>
        </w:rPr>
      </w:pPr>
      <w:r w:rsidRPr="00182F6B">
        <w:rPr>
          <w:sz w:val="20"/>
          <w:szCs w:val="20"/>
        </w:rPr>
        <w:t>MEC = Measure Equipment Cost; MLC = Measure Labor Cost</w:t>
      </w:r>
    </w:p>
    <w:p w14:paraId="5A192600" w14:textId="77777777" w:rsidR="00182F6B" w:rsidRPr="00182F6B" w:rsidRDefault="00182F6B" w:rsidP="00182F6B">
      <w:pPr>
        <w:rPr>
          <w:sz w:val="20"/>
          <w:szCs w:val="20"/>
        </w:rPr>
      </w:pPr>
      <w:r w:rsidRPr="00182F6B">
        <w:rPr>
          <w:sz w:val="20"/>
          <w:szCs w:val="20"/>
        </w:rPr>
        <w:t>BEC = Base Case Equipment Cost; BLC = Base Case Labor Cost</w:t>
      </w:r>
    </w:p>
    <w:p w14:paraId="11D3AEA9" w14:textId="22FC7A79" w:rsidR="008A433B" w:rsidRDefault="008A433B">
      <w:pPr>
        <w:spacing w:after="200" w:line="276" w:lineRule="auto"/>
        <w:rPr>
          <w:rFonts w:cs="Arial"/>
          <w:color w:val="FF0000"/>
          <w:szCs w:val="22"/>
        </w:rPr>
      </w:pPr>
      <w:r>
        <w:rPr>
          <w:rFonts w:cs="Arial"/>
          <w:color w:val="FF0000"/>
          <w:szCs w:val="22"/>
        </w:rPr>
        <w:br w:type="page"/>
      </w:r>
    </w:p>
    <w:p w14:paraId="4AF344C4" w14:textId="77777777" w:rsidR="00182F6B" w:rsidRPr="00182F6B" w:rsidRDefault="00182F6B" w:rsidP="00182F6B">
      <w:pPr>
        <w:rPr>
          <w:rFonts w:cs="Arial"/>
          <w:color w:val="FF0000"/>
          <w:szCs w:val="22"/>
        </w:rPr>
      </w:pPr>
    </w:p>
    <w:p w14:paraId="00E04903" w14:textId="77777777" w:rsidR="00182F6B" w:rsidRPr="00182F6B" w:rsidRDefault="00182F6B" w:rsidP="00182F6B">
      <w:pPr>
        <w:rPr>
          <w:b/>
        </w:rPr>
      </w:pPr>
      <w:r w:rsidRPr="00182F6B">
        <w:rPr>
          <w:b/>
        </w:rPr>
        <w:t>Full and Incremental Costs</w:t>
      </w:r>
    </w:p>
    <w:tbl>
      <w:tblPr>
        <w:tblW w:w="6440" w:type="dxa"/>
        <w:tblLayout w:type="fixed"/>
        <w:tblLook w:val="04A0" w:firstRow="1" w:lastRow="0" w:firstColumn="1" w:lastColumn="0" w:noHBand="0" w:noVBand="1"/>
      </w:tblPr>
      <w:tblGrid>
        <w:gridCol w:w="1160"/>
        <w:gridCol w:w="1260"/>
        <w:gridCol w:w="1628"/>
        <w:gridCol w:w="1187"/>
        <w:gridCol w:w="1205"/>
      </w:tblGrid>
      <w:tr w:rsidR="005C5688" w:rsidRPr="005C5688" w14:paraId="1105B392" w14:textId="77777777" w:rsidTr="005C5688">
        <w:trPr>
          <w:trHeight w:val="315"/>
        </w:trPr>
        <w:tc>
          <w:tcPr>
            <w:tcW w:w="11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bookmarkEnd w:id="25"/>
          <w:p w14:paraId="375DB3BC"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Measure</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0C4FD41"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Installation Type</w:t>
            </w:r>
          </w:p>
        </w:tc>
        <w:tc>
          <w:tcPr>
            <w:tcW w:w="1628"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0347045"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Incremental Measure Cost</w:t>
            </w:r>
          </w:p>
        </w:tc>
        <w:tc>
          <w:tcPr>
            <w:tcW w:w="2392" w:type="dxa"/>
            <w:gridSpan w:val="2"/>
            <w:tcBorders>
              <w:top w:val="single" w:sz="8" w:space="0" w:color="auto"/>
              <w:left w:val="nil"/>
              <w:bottom w:val="single" w:sz="8" w:space="0" w:color="auto"/>
              <w:right w:val="single" w:sz="8" w:space="0" w:color="000000"/>
            </w:tcBorders>
            <w:shd w:val="clear" w:color="000000" w:fill="D9D9D9"/>
            <w:vAlign w:val="center"/>
            <w:hideMark/>
          </w:tcPr>
          <w:p w14:paraId="36C3CFBF"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Full Measure Cost</w:t>
            </w:r>
          </w:p>
        </w:tc>
      </w:tr>
      <w:tr w:rsidR="005C5688" w:rsidRPr="005C5688" w14:paraId="4163890C" w14:textId="77777777" w:rsidTr="005C5688">
        <w:trPr>
          <w:trHeight w:val="315"/>
        </w:trPr>
        <w:tc>
          <w:tcPr>
            <w:tcW w:w="1160" w:type="dxa"/>
            <w:vMerge/>
            <w:tcBorders>
              <w:top w:val="single" w:sz="8" w:space="0" w:color="auto"/>
              <w:left w:val="single" w:sz="8" w:space="0" w:color="auto"/>
              <w:bottom w:val="single" w:sz="8" w:space="0" w:color="000000"/>
              <w:right w:val="single" w:sz="8" w:space="0" w:color="auto"/>
            </w:tcBorders>
            <w:vAlign w:val="center"/>
            <w:hideMark/>
          </w:tcPr>
          <w:p w14:paraId="22C6B212" w14:textId="77777777" w:rsidR="005C5688" w:rsidRPr="005C5688" w:rsidRDefault="005C5688" w:rsidP="005C5688">
            <w:pPr>
              <w:rPr>
                <w:rFonts w:ascii="Calibri" w:hAnsi="Calibri"/>
                <w:b/>
                <w:bCs/>
                <w:color w:val="000000"/>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14:paraId="3BAA21B3" w14:textId="77777777" w:rsidR="005C5688" w:rsidRPr="005C5688" w:rsidRDefault="005C5688" w:rsidP="005C5688">
            <w:pPr>
              <w:rPr>
                <w:rFonts w:ascii="Calibri" w:hAnsi="Calibri"/>
                <w:b/>
                <w:bCs/>
                <w:color w:val="000000"/>
                <w:sz w:val="20"/>
                <w:szCs w:val="20"/>
              </w:rPr>
            </w:pPr>
          </w:p>
        </w:tc>
        <w:tc>
          <w:tcPr>
            <w:tcW w:w="1628" w:type="dxa"/>
            <w:vMerge/>
            <w:tcBorders>
              <w:top w:val="single" w:sz="8" w:space="0" w:color="auto"/>
              <w:left w:val="single" w:sz="8" w:space="0" w:color="auto"/>
              <w:bottom w:val="single" w:sz="8" w:space="0" w:color="000000"/>
              <w:right w:val="single" w:sz="8" w:space="0" w:color="auto"/>
            </w:tcBorders>
            <w:vAlign w:val="center"/>
            <w:hideMark/>
          </w:tcPr>
          <w:p w14:paraId="08DB9C9C" w14:textId="77777777" w:rsidR="005C5688" w:rsidRPr="005C5688" w:rsidRDefault="005C5688" w:rsidP="005C5688">
            <w:pPr>
              <w:rPr>
                <w:rFonts w:ascii="Calibri" w:hAnsi="Calibri"/>
                <w:b/>
                <w:bCs/>
                <w:color w:val="000000"/>
                <w:sz w:val="20"/>
                <w:szCs w:val="20"/>
              </w:rPr>
            </w:pPr>
          </w:p>
        </w:tc>
        <w:tc>
          <w:tcPr>
            <w:tcW w:w="1187" w:type="dxa"/>
            <w:tcBorders>
              <w:top w:val="nil"/>
              <w:left w:val="nil"/>
              <w:bottom w:val="single" w:sz="8" w:space="0" w:color="auto"/>
              <w:right w:val="single" w:sz="8" w:space="0" w:color="auto"/>
            </w:tcBorders>
            <w:shd w:val="clear" w:color="000000" w:fill="F2F2F2"/>
            <w:vAlign w:val="center"/>
            <w:hideMark/>
          </w:tcPr>
          <w:p w14:paraId="6C13B235"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1</w:t>
            </w:r>
            <w:r w:rsidRPr="005C5688">
              <w:rPr>
                <w:rFonts w:ascii="Calibri" w:hAnsi="Calibri"/>
                <w:b/>
                <w:bCs/>
                <w:color w:val="000000"/>
                <w:sz w:val="20"/>
                <w:szCs w:val="20"/>
                <w:vertAlign w:val="superscript"/>
              </w:rPr>
              <w:t>st</w:t>
            </w:r>
            <w:r w:rsidRPr="005C5688">
              <w:rPr>
                <w:rFonts w:ascii="Calibri" w:hAnsi="Calibri"/>
                <w:b/>
                <w:bCs/>
                <w:color w:val="000000"/>
                <w:sz w:val="20"/>
                <w:szCs w:val="20"/>
              </w:rPr>
              <w:t xml:space="preserve"> Baseline</w:t>
            </w:r>
          </w:p>
        </w:tc>
        <w:tc>
          <w:tcPr>
            <w:tcW w:w="1205" w:type="dxa"/>
            <w:tcBorders>
              <w:top w:val="nil"/>
              <w:left w:val="nil"/>
              <w:bottom w:val="single" w:sz="8" w:space="0" w:color="auto"/>
              <w:right w:val="single" w:sz="8" w:space="0" w:color="auto"/>
            </w:tcBorders>
            <w:shd w:val="clear" w:color="000000" w:fill="F2F2F2"/>
            <w:vAlign w:val="center"/>
            <w:hideMark/>
          </w:tcPr>
          <w:p w14:paraId="4AA89B88" w14:textId="77777777" w:rsidR="005C5688" w:rsidRPr="005C5688" w:rsidRDefault="005C5688" w:rsidP="005C5688">
            <w:pPr>
              <w:rPr>
                <w:rFonts w:ascii="Calibri" w:hAnsi="Calibri"/>
                <w:b/>
                <w:bCs/>
                <w:color w:val="000000"/>
                <w:sz w:val="20"/>
                <w:szCs w:val="20"/>
              </w:rPr>
            </w:pPr>
            <w:r w:rsidRPr="005C5688">
              <w:rPr>
                <w:rFonts w:ascii="Calibri" w:hAnsi="Calibri"/>
                <w:b/>
                <w:bCs/>
                <w:color w:val="000000"/>
                <w:sz w:val="20"/>
                <w:szCs w:val="20"/>
              </w:rPr>
              <w:t>2</w:t>
            </w:r>
            <w:r w:rsidRPr="005C5688">
              <w:rPr>
                <w:rFonts w:ascii="Calibri" w:hAnsi="Calibri"/>
                <w:b/>
                <w:bCs/>
                <w:color w:val="000000"/>
                <w:sz w:val="20"/>
                <w:szCs w:val="20"/>
                <w:vertAlign w:val="superscript"/>
              </w:rPr>
              <w:t>nd</w:t>
            </w:r>
            <w:r w:rsidRPr="005C5688">
              <w:rPr>
                <w:rFonts w:ascii="Calibri" w:hAnsi="Calibri"/>
                <w:b/>
                <w:bCs/>
                <w:color w:val="000000"/>
                <w:sz w:val="20"/>
                <w:szCs w:val="20"/>
              </w:rPr>
              <w:t xml:space="preserve"> Baseline</w:t>
            </w:r>
          </w:p>
        </w:tc>
      </w:tr>
      <w:tr w:rsidR="005C5688" w:rsidRPr="005C5688" w14:paraId="444DB614"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228D66A1"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WH-19955</w:t>
            </w:r>
          </w:p>
        </w:tc>
        <w:tc>
          <w:tcPr>
            <w:tcW w:w="1260" w:type="dxa"/>
            <w:tcBorders>
              <w:top w:val="nil"/>
              <w:left w:val="nil"/>
              <w:bottom w:val="single" w:sz="8" w:space="0" w:color="auto"/>
              <w:right w:val="single" w:sz="8" w:space="0" w:color="auto"/>
            </w:tcBorders>
            <w:shd w:val="clear" w:color="auto" w:fill="auto"/>
            <w:vAlign w:val="center"/>
            <w:hideMark/>
          </w:tcPr>
          <w:p w14:paraId="25A6FD17"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12482397"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$8</w:t>
            </w:r>
            <w:r w:rsidR="005C4B38">
              <w:rPr>
                <w:rFonts w:ascii="Calibri" w:hAnsi="Calibri"/>
                <w:color w:val="000000"/>
                <w:sz w:val="20"/>
                <w:szCs w:val="20"/>
              </w:rPr>
              <w:t>0</w:t>
            </w:r>
            <w:r w:rsidRPr="005C5688">
              <w:rPr>
                <w:rFonts w:ascii="Calibri" w:hAnsi="Calibri"/>
                <w:color w:val="000000"/>
                <w:sz w:val="20"/>
                <w:szCs w:val="20"/>
              </w:rPr>
              <w:t xml:space="preserve">7.97 </w:t>
            </w:r>
          </w:p>
        </w:tc>
        <w:tc>
          <w:tcPr>
            <w:tcW w:w="1187" w:type="dxa"/>
            <w:tcBorders>
              <w:top w:val="nil"/>
              <w:left w:val="nil"/>
              <w:bottom w:val="single" w:sz="8" w:space="0" w:color="auto"/>
              <w:right w:val="single" w:sz="8" w:space="0" w:color="auto"/>
            </w:tcBorders>
            <w:shd w:val="clear" w:color="auto" w:fill="auto"/>
            <w:vAlign w:val="center"/>
            <w:hideMark/>
          </w:tcPr>
          <w:p w14:paraId="748A0F39"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w:t>
            </w:r>
            <w:r>
              <w:rPr>
                <w:rFonts w:ascii="Calibri" w:hAnsi="Calibri"/>
                <w:color w:val="000000"/>
                <w:sz w:val="20"/>
                <w:szCs w:val="20"/>
              </w:rPr>
              <w:t>8</w:t>
            </w:r>
            <w:r w:rsidR="005C4B38">
              <w:rPr>
                <w:rFonts w:ascii="Calibri" w:hAnsi="Calibri"/>
                <w:color w:val="000000"/>
                <w:sz w:val="20"/>
                <w:szCs w:val="20"/>
              </w:rPr>
              <w:t>0</w:t>
            </w:r>
            <w:r w:rsidRPr="005C5688">
              <w:rPr>
                <w:rFonts w:ascii="Calibri" w:hAnsi="Calibri"/>
                <w:color w:val="000000"/>
                <w:sz w:val="20"/>
                <w:szCs w:val="20"/>
              </w:rPr>
              <w:t xml:space="preserve">7.97 </w:t>
            </w:r>
          </w:p>
        </w:tc>
        <w:tc>
          <w:tcPr>
            <w:tcW w:w="1205" w:type="dxa"/>
            <w:tcBorders>
              <w:top w:val="nil"/>
              <w:left w:val="nil"/>
              <w:bottom w:val="single" w:sz="8" w:space="0" w:color="auto"/>
              <w:right w:val="single" w:sz="8" w:space="0" w:color="auto"/>
            </w:tcBorders>
            <w:shd w:val="clear" w:color="auto" w:fill="auto"/>
            <w:vAlign w:val="center"/>
            <w:hideMark/>
          </w:tcPr>
          <w:p w14:paraId="6F7706D3"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25FFADFE"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744EE69E"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WH-19956</w:t>
            </w:r>
          </w:p>
        </w:tc>
        <w:tc>
          <w:tcPr>
            <w:tcW w:w="1260" w:type="dxa"/>
            <w:tcBorders>
              <w:top w:val="nil"/>
              <w:left w:val="nil"/>
              <w:bottom w:val="single" w:sz="8" w:space="0" w:color="auto"/>
              <w:right w:val="single" w:sz="8" w:space="0" w:color="auto"/>
            </w:tcBorders>
            <w:shd w:val="clear" w:color="auto" w:fill="auto"/>
            <w:vAlign w:val="center"/>
            <w:hideMark/>
          </w:tcPr>
          <w:p w14:paraId="11F234EF"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13E58048" w14:textId="77777777" w:rsidR="005C5688" w:rsidRPr="005C5688" w:rsidRDefault="005C5688" w:rsidP="000F656D">
            <w:pPr>
              <w:rPr>
                <w:rFonts w:ascii="Calibri" w:hAnsi="Calibri"/>
                <w:color w:val="000000"/>
                <w:sz w:val="20"/>
                <w:szCs w:val="20"/>
              </w:rPr>
            </w:pPr>
            <w:r w:rsidRPr="005C5688">
              <w:rPr>
                <w:rFonts w:ascii="Calibri" w:hAnsi="Calibri"/>
                <w:color w:val="000000"/>
                <w:sz w:val="20"/>
                <w:szCs w:val="20"/>
              </w:rPr>
              <w:t xml:space="preserve"> $6</w:t>
            </w:r>
            <w:r w:rsidR="000F656D">
              <w:rPr>
                <w:rFonts w:ascii="Calibri" w:hAnsi="Calibri"/>
                <w:color w:val="000000"/>
                <w:sz w:val="20"/>
                <w:szCs w:val="20"/>
              </w:rPr>
              <w:t>6</w:t>
            </w:r>
            <w:r w:rsidRPr="005C5688">
              <w:rPr>
                <w:rFonts w:ascii="Calibri" w:hAnsi="Calibri"/>
                <w:color w:val="000000"/>
                <w:sz w:val="20"/>
                <w:szCs w:val="20"/>
              </w:rPr>
              <w:t xml:space="preserve">7.72 </w:t>
            </w:r>
          </w:p>
        </w:tc>
        <w:tc>
          <w:tcPr>
            <w:tcW w:w="1187" w:type="dxa"/>
            <w:tcBorders>
              <w:top w:val="nil"/>
              <w:left w:val="nil"/>
              <w:bottom w:val="single" w:sz="8" w:space="0" w:color="auto"/>
              <w:right w:val="single" w:sz="8" w:space="0" w:color="auto"/>
            </w:tcBorders>
            <w:shd w:val="clear" w:color="auto" w:fill="auto"/>
            <w:vAlign w:val="center"/>
            <w:hideMark/>
          </w:tcPr>
          <w:p w14:paraId="6676FA42" w14:textId="77777777" w:rsidR="005C5688" w:rsidRPr="005C5688" w:rsidRDefault="005C5688" w:rsidP="000F656D">
            <w:pPr>
              <w:rPr>
                <w:rFonts w:ascii="Calibri" w:hAnsi="Calibri"/>
                <w:color w:val="000000"/>
                <w:sz w:val="20"/>
                <w:szCs w:val="20"/>
              </w:rPr>
            </w:pPr>
            <w:r w:rsidRPr="005C5688">
              <w:rPr>
                <w:rFonts w:ascii="Calibri" w:hAnsi="Calibri"/>
                <w:color w:val="000000"/>
                <w:sz w:val="20"/>
                <w:szCs w:val="20"/>
              </w:rPr>
              <w:t xml:space="preserve"> $6</w:t>
            </w:r>
            <w:r w:rsidR="000F656D">
              <w:rPr>
                <w:rFonts w:ascii="Calibri" w:hAnsi="Calibri"/>
                <w:color w:val="000000"/>
                <w:sz w:val="20"/>
                <w:szCs w:val="20"/>
              </w:rPr>
              <w:t>6</w:t>
            </w:r>
            <w:r w:rsidRPr="005C5688">
              <w:rPr>
                <w:rFonts w:ascii="Calibri" w:hAnsi="Calibri"/>
                <w:color w:val="000000"/>
                <w:sz w:val="20"/>
                <w:szCs w:val="20"/>
              </w:rPr>
              <w:t xml:space="preserve">7.72 </w:t>
            </w:r>
          </w:p>
        </w:tc>
        <w:tc>
          <w:tcPr>
            <w:tcW w:w="1205" w:type="dxa"/>
            <w:tcBorders>
              <w:top w:val="nil"/>
              <w:left w:val="nil"/>
              <w:bottom w:val="single" w:sz="8" w:space="0" w:color="auto"/>
              <w:right w:val="single" w:sz="8" w:space="0" w:color="auto"/>
            </w:tcBorders>
            <w:shd w:val="clear" w:color="auto" w:fill="auto"/>
            <w:vAlign w:val="center"/>
            <w:hideMark/>
          </w:tcPr>
          <w:p w14:paraId="7D6BA757"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47DE9268"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5CC2A6A3"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WH-19957</w:t>
            </w:r>
          </w:p>
        </w:tc>
        <w:tc>
          <w:tcPr>
            <w:tcW w:w="1260" w:type="dxa"/>
            <w:tcBorders>
              <w:top w:val="nil"/>
              <w:left w:val="nil"/>
              <w:bottom w:val="single" w:sz="8" w:space="0" w:color="auto"/>
              <w:right w:val="single" w:sz="8" w:space="0" w:color="auto"/>
            </w:tcBorders>
            <w:shd w:val="clear" w:color="auto" w:fill="auto"/>
            <w:vAlign w:val="center"/>
            <w:hideMark/>
          </w:tcPr>
          <w:p w14:paraId="327FB25A"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67E9F930"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w:t>
            </w:r>
            <w:r>
              <w:rPr>
                <w:rFonts w:ascii="Calibri" w:hAnsi="Calibri"/>
                <w:color w:val="000000"/>
                <w:sz w:val="20"/>
                <w:szCs w:val="20"/>
              </w:rPr>
              <w:t>7</w:t>
            </w:r>
            <w:r w:rsidRPr="005C5688">
              <w:rPr>
                <w:rFonts w:ascii="Calibri" w:hAnsi="Calibri"/>
                <w:color w:val="000000"/>
                <w:sz w:val="20"/>
                <w:szCs w:val="20"/>
              </w:rPr>
              <w:t xml:space="preserve">30.88 </w:t>
            </w:r>
          </w:p>
        </w:tc>
        <w:tc>
          <w:tcPr>
            <w:tcW w:w="1187" w:type="dxa"/>
            <w:tcBorders>
              <w:top w:val="nil"/>
              <w:left w:val="nil"/>
              <w:bottom w:val="single" w:sz="8" w:space="0" w:color="auto"/>
              <w:right w:val="single" w:sz="8" w:space="0" w:color="auto"/>
            </w:tcBorders>
            <w:shd w:val="clear" w:color="auto" w:fill="auto"/>
            <w:vAlign w:val="center"/>
            <w:hideMark/>
          </w:tcPr>
          <w:p w14:paraId="1609A61E"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$730.88 </w:t>
            </w:r>
          </w:p>
        </w:tc>
        <w:tc>
          <w:tcPr>
            <w:tcW w:w="1205" w:type="dxa"/>
            <w:tcBorders>
              <w:top w:val="nil"/>
              <w:left w:val="nil"/>
              <w:bottom w:val="single" w:sz="8" w:space="0" w:color="auto"/>
              <w:right w:val="single" w:sz="8" w:space="0" w:color="auto"/>
            </w:tcBorders>
            <w:shd w:val="clear" w:color="auto" w:fill="auto"/>
            <w:vAlign w:val="center"/>
            <w:hideMark/>
          </w:tcPr>
          <w:p w14:paraId="0B369429"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0F30A8FC"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40A36B62"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WH-19958</w:t>
            </w:r>
          </w:p>
        </w:tc>
        <w:tc>
          <w:tcPr>
            <w:tcW w:w="1260" w:type="dxa"/>
            <w:tcBorders>
              <w:top w:val="nil"/>
              <w:left w:val="nil"/>
              <w:bottom w:val="single" w:sz="8" w:space="0" w:color="auto"/>
              <w:right w:val="single" w:sz="8" w:space="0" w:color="auto"/>
            </w:tcBorders>
            <w:shd w:val="clear" w:color="auto" w:fill="auto"/>
            <w:vAlign w:val="center"/>
            <w:hideMark/>
          </w:tcPr>
          <w:p w14:paraId="585B7301"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4757D67D"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$590.63 </w:t>
            </w:r>
          </w:p>
        </w:tc>
        <w:tc>
          <w:tcPr>
            <w:tcW w:w="1187" w:type="dxa"/>
            <w:tcBorders>
              <w:top w:val="nil"/>
              <w:left w:val="nil"/>
              <w:bottom w:val="single" w:sz="8" w:space="0" w:color="auto"/>
              <w:right w:val="single" w:sz="8" w:space="0" w:color="auto"/>
            </w:tcBorders>
            <w:shd w:val="clear" w:color="auto" w:fill="auto"/>
            <w:vAlign w:val="center"/>
            <w:hideMark/>
          </w:tcPr>
          <w:p w14:paraId="0FCC4D2F"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$590.63 </w:t>
            </w:r>
          </w:p>
        </w:tc>
        <w:tc>
          <w:tcPr>
            <w:tcW w:w="1205" w:type="dxa"/>
            <w:tcBorders>
              <w:top w:val="nil"/>
              <w:left w:val="nil"/>
              <w:bottom w:val="single" w:sz="8" w:space="0" w:color="auto"/>
              <w:right w:val="single" w:sz="8" w:space="0" w:color="auto"/>
            </w:tcBorders>
            <w:shd w:val="clear" w:color="auto" w:fill="auto"/>
            <w:vAlign w:val="center"/>
            <w:hideMark/>
          </w:tcPr>
          <w:p w14:paraId="2BB9BA66"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3FA46A0D"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58CF7B6D"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WH-19959</w:t>
            </w:r>
          </w:p>
        </w:tc>
        <w:tc>
          <w:tcPr>
            <w:tcW w:w="1260" w:type="dxa"/>
            <w:tcBorders>
              <w:top w:val="nil"/>
              <w:left w:val="nil"/>
              <w:bottom w:val="single" w:sz="8" w:space="0" w:color="auto"/>
              <w:right w:val="single" w:sz="8" w:space="0" w:color="auto"/>
            </w:tcBorders>
            <w:shd w:val="clear" w:color="auto" w:fill="auto"/>
            <w:vAlign w:val="center"/>
            <w:hideMark/>
          </w:tcPr>
          <w:p w14:paraId="2ABEE110"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77CCDBD4"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$653.79 </w:t>
            </w:r>
          </w:p>
        </w:tc>
        <w:tc>
          <w:tcPr>
            <w:tcW w:w="1187" w:type="dxa"/>
            <w:tcBorders>
              <w:top w:val="nil"/>
              <w:left w:val="nil"/>
              <w:bottom w:val="single" w:sz="8" w:space="0" w:color="auto"/>
              <w:right w:val="single" w:sz="8" w:space="0" w:color="auto"/>
            </w:tcBorders>
            <w:shd w:val="clear" w:color="auto" w:fill="auto"/>
            <w:vAlign w:val="center"/>
            <w:hideMark/>
          </w:tcPr>
          <w:p w14:paraId="091A5CFD"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$653.79 </w:t>
            </w:r>
          </w:p>
        </w:tc>
        <w:tc>
          <w:tcPr>
            <w:tcW w:w="1205" w:type="dxa"/>
            <w:tcBorders>
              <w:top w:val="nil"/>
              <w:left w:val="nil"/>
              <w:bottom w:val="single" w:sz="8" w:space="0" w:color="auto"/>
              <w:right w:val="single" w:sz="8" w:space="0" w:color="auto"/>
            </w:tcBorders>
            <w:shd w:val="clear" w:color="auto" w:fill="auto"/>
            <w:vAlign w:val="center"/>
            <w:hideMark/>
          </w:tcPr>
          <w:p w14:paraId="536E0AE2"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109601FE"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2185486B"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WH-19960</w:t>
            </w:r>
          </w:p>
        </w:tc>
        <w:tc>
          <w:tcPr>
            <w:tcW w:w="1260" w:type="dxa"/>
            <w:tcBorders>
              <w:top w:val="nil"/>
              <w:left w:val="nil"/>
              <w:bottom w:val="single" w:sz="8" w:space="0" w:color="auto"/>
              <w:right w:val="single" w:sz="8" w:space="0" w:color="auto"/>
            </w:tcBorders>
            <w:shd w:val="clear" w:color="auto" w:fill="auto"/>
            <w:vAlign w:val="center"/>
            <w:hideMark/>
          </w:tcPr>
          <w:p w14:paraId="11380698"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2D61A0E7"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$513.54 </w:t>
            </w:r>
          </w:p>
        </w:tc>
        <w:tc>
          <w:tcPr>
            <w:tcW w:w="1187" w:type="dxa"/>
            <w:tcBorders>
              <w:top w:val="nil"/>
              <w:left w:val="nil"/>
              <w:bottom w:val="single" w:sz="8" w:space="0" w:color="auto"/>
              <w:right w:val="single" w:sz="8" w:space="0" w:color="auto"/>
            </w:tcBorders>
            <w:shd w:val="clear" w:color="auto" w:fill="auto"/>
            <w:vAlign w:val="center"/>
            <w:hideMark/>
          </w:tcPr>
          <w:p w14:paraId="156693CA"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w:t>
            </w:r>
            <w:r>
              <w:rPr>
                <w:rFonts w:ascii="Calibri" w:hAnsi="Calibri"/>
                <w:color w:val="000000"/>
                <w:sz w:val="20"/>
                <w:szCs w:val="20"/>
              </w:rPr>
              <w:t>5</w:t>
            </w:r>
            <w:r w:rsidRPr="005C5688">
              <w:rPr>
                <w:rFonts w:ascii="Calibri" w:hAnsi="Calibri"/>
                <w:color w:val="000000"/>
                <w:sz w:val="20"/>
                <w:szCs w:val="20"/>
              </w:rPr>
              <w:t xml:space="preserve">13.54 </w:t>
            </w:r>
          </w:p>
        </w:tc>
        <w:tc>
          <w:tcPr>
            <w:tcW w:w="1205" w:type="dxa"/>
            <w:tcBorders>
              <w:top w:val="nil"/>
              <w:left w:val="nil"/>
              <w:bottom w:val="single" w:sz="8" w:space="0" w:color="auto"/>
              <w:right w:val="single" w:sz="8" w:space="0" w:color="auto"/>
            </w:tcBorders>
            <w:shd w:val="clear" w:color="auto" w:fill="auto"/>
            <w:vAlign w:val="center"/>
            <w:hideMark/>
          </w:tcPr>
          <w:p w14:paraId="1B406601"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28D25226"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65D727A4"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WH-19961</w:t>
            </w:r>
          </w:p>
        </w:tc>
        <w:tc>
          <w:tcPr>
            <w:tcW w:w="1260" w:type="dxa"/>
            <w:tcBorders>
              <w:top w:val="nil"/>
              <w:left w:val="nil"/>
              <w:bottom w:val="single" w:sz="8" w:space="0" w:color="auto"/>
              <w:right w:val="single" w:sz="8" w:space="0" w:color="auto"/>
            </w:tcBorders>
            <w:shd w:val="clear" w:color="auto" w:fill="auto"/>
            <w:vAlign w:val="center"/>
            <w:hideMark/>
          </w:tcPr>
          <w:p w14:paraId="0A18AB87"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6F791190"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$10</w:t>
            </w:r>
            <w:r w:rsidR="005C4B38">
              <w:rPr>
                <w:rFonts w:ascii="Calibri" w:hAnsi="Calibri"/>
                <w:color w:val="000000"/>
                <w:sz w:val="20"/>
                <w:szCs w:val="20"/>
              </w:rPr>
              <w:t>3</w:t>
            </w:r>
            <w:r w:rsidRPr="005C5688">
              <w:rPr>
                <w:rFonts w:ascii="Calibri" w:hAnsi="Calibri"/>
                <w:color w:val="000000"/>
                <w:sz w:val="20"/>
                <w:szCs w:val="20"/>
              </w:rPr>
              <w:t xml:space="preserve">.00 </w:t>
            </w:r>
          </w:p>
        </w:tc>
        <w:tc>
          <w:tcPr>
            <w:tcW w:w="1187" w:type="dxa"/>
            <w:tcBorders>
              <w:top w:val="nil"/>
              <w:left w:val="nil"/>
              <w:bottom w:val="single" w:sz="8" w:space="0" w:color="auto"/>
              <w:right w:val="single" w:sz="8" w:space="0" w:color="auto"/>
            </w:tcBorders>
            <w:shd w:val="clear" w:color="auto" w:fill="auto"/>
            <w:vAlign w:val="center"/>
            <w:hideMark/>
          </w:tcPr>
          <w:p w14:paraId="12A3B202"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$10</w:t>
            </w:r>
            <w:r w:rsidR="005C4B38">
              <w:rPr>
                <w:rFonts w:ascii="Calibri" w:hAnsi="Calibri"/>
                <w:color w:val="000000"/>
                <w:sz w:val="20"/>
                <w:szCs w:val="20"/>
              </w:rPr>
              <w:t>3</w:t>
            </w:r>
            <w:r w:rsidRPr="005C5688">
              <w:rPr>
                <w:rFonts w:ascii="Calibri" w:hAnsi="Calibri"/>
                <w:color w:val="000000"/>
                <w:sz w:val="20"/>
                <w:szCs w:val="20"/>
              </w:rPr>
              <w:t xml:space="preserve">.00 </w:t>
            </w:r>
          </w:p>
        </w:tc>
        <w:tc>
          <w:tcPr>
            <w:tcW w:w="1205" w:type="dxa"/>
            <w:tcBorders>
              <w:top w:val="nil"/>
              <w:left w:val="nil"/>
              <w:bottom w:val="single" w:sz="8" w:space="0" w:color="auto"/>
              <w:right w:val="single" w:sz="8" w:space="0" w:color="auto"/>
            </w:tcBorders>
            <w:shd w:val="clear" w:color="auto" w:fill="auto"/>
            <w:vAlign w:val="center"/>
            <w:hideMark/>
          </w:tcPr>
          <w:p w14:paraId="2CF0B166"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r w:rsidR="005C5688" w:rsidRPr="005C5688" w14:paraId="6215084A" w14:textId="77777777" w:rsidTr="004D486C">
        <w:trPr>
          <w:trHeight w:val="315"/>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27A64935"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WH-19962</w:t>
            </w:r>
          </w:p>
        </w:tc>
        <w:tc>
          <w:tcPr>
            <w:tcW w:w="1260" w:type="dxa"/>
            <w:tcBorders>
              <w:top w:val="nil"/>
              <w:left w:val="nil"/>
              <w:bottom w:val="single" w:sz="8" w:space="0" w:color="auto"/>
              <w:right w:val="single" w:sz="8" w:space="0" w:color="auto"/>
            </w:tcBorders>
            <w:shd w:val="clear" w:color="auto" w:fill="auto"/>
            <w:vAlign w:val="center"/>
            <w:hideMark/>
          </w:tcPr>
          <w:p w14:paraId="31534215"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ROB</w:t>
            </w:r>
          </w:p>
        </w:tc>
        <w:tc>
          <w:tcPr>
            <w:tcW w:w="1628" w:type="dxa"/>
            <w:tcBorders>
              <w:top w:val="nil"/>
              <w:left w:val="nil"/>
              <w:bottom w:val="single" w:sz="8" w:space="0" w:color="auto"/>
              <w:right w:val="single" w:sz="8" w:space="0" w:color="auto"/>
            </w:tcBorders>
            <w:shd w:val="clear" w:color="auto" w:fill="auto"/>
            <w:vAlign w:val="center"/>
            <w:hideMark/>
          </w:tcPr>
          <w:p w14:paraId="621AF293"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$138.38 </w:t>
            </w:r>
          </w:p>
        </w:tc>
        <w:tc>
          <w:tcPr>
            <w:tcW w:w="1187" w:type="dxa"/>
            <w:tcBorders>
              <w:top w:val="nil"/>
              <w:left w:val="nil"/>
              <w:bottom w:val="single" w:sz="8" w:space="0" w:color="auto"/>
              <w:right w:val="single" w:sz="8" w:space="0" w:color="auto"/>
            </w:tcBorders>
            <w:shd w:val="clear" w:color="auto" w:fill="auto"/>
            <w:vAlign w:val="center"/>
            <w:hideMark/>
          </w:tcPr>
          <w:p w14:paraId="3ED8CE2A" w14:textId="77777777" w:rsidR="005C5688" w:rsidRPr="005C5688" w:rsidRDefault="005C5688">
            <w:pPr>
              <w:rPr>
                <w:rFonts w:ascii="Calibri" w:hAnsi="Calibri"/>
                <w:color w:val="000000"/>
                <w:sz w:val="20"/>
                <w:szCs w:val="20"/>
              </w:rPr>
            </w:pPr>
            <w:r w:rsidRPr="005C5688">
              <w:rPr>
                <w:rFonts w:ascii="Calibri" w:hAnsi="Calibri"/>
                <w:color w:val="000000"/>
                <w:sz w:val="20"/>
                <w:szCs w:val="20"/>
              </w:rPr>
              <w:t xml:space="preserve"> $138.38 </w:t>
            </w:r>
          </w:p>
        </w:tc>
        <w:tc>
          <w:tcPr>
            <w:tcW w:w="1205" w:type="dxa"/>
            <w:tcBorders>
              <w:top w:val="nil"/>
              <w:left w:val="nil"/>
              <w:bottom w:val="single" w:sz="8" w:space="0" w:color="auto"/>
              <w:right w:val="single" w:sz="8" w:space="0" w:color="auto"/>
            </w:tcBorders>
            <w:shd w:val="clear" w:color="auto" w:fill="auto"/>
            <w:vAlign w:val="center"/>
            <w:hideMark/>
          </w:tcPr>
          <w:p w14:paraId="1E69F627" w14:textId="77777777" w:rsidR="005C5688" w:rsidRPr="005C5688" w:rsidRDefault="005C5688" w:rsidP="005C5688">
            <w:pPr>
              <w:rPr>
                <w:rFonts w:ascii="Calibri" w:hAnsi="Calibri"/>
                <w:color w:val="000000"/>
                <w:sz w:val="20"/>
                <w:szCs w:val="20"/>
              </w:rPr>
            </w:pPr>
            <w:r w:rsidRPr="005C5688">
              <w:rPr>
                <w:rFonts w:ascii="Calibri" w:hAnsi="Calibri"/>
                <w:color w:val="000000"/>
                <w:sz w:val="20"/>
                <w:szCs w:val="20"/>
              </w:rPr>
              <w:t xml:space="preserve"> N/A </w:t>
            </w:r>
          </w:p>
        </w:tc>
      </w:tr>
    </w:tbl>
    <w:p w14:paraId="5BEBDBB8" w14:textId="77777777" w:rsidR="00032A0A" w:rsidRDefault="00032A0A" w:rsidP="00E16609">
      <w:pPr>
        <w:rPr>
          <w:rFonts w:cstheme="minorHAnsi"/>
          <w:b/>
          <w:bCs/>
          <w:iCs/>
          <w:smallCaps/>
          <w:sz w:val="28"/>
          <w:szCs w:val="28"/>
        </w:rPr>
      </w:pPr>
    </w:p>
    <w:p w14:paraId="0258FDB6" w14:textId="77777777" w:rsidR="00032A0A" w:rsidRDefault="00032A0A">
      <w:pPr>
        <w:spacing w:after="200" w:line="276" w:lineRule="auto"/>
        <w:rPr>
          <w:rFonts w:cstheme="minorHAnsi"/>
          <w:b/>
          <w:bCs/>
          <w:iCs/>
          <w:smallCaps/>
          <w:sz w:val="28"/>
          <w:szCs w:val="28"/>
        </w:rPr>
      </w:pPr>
      <w:r>
        <w:rPr>
          <w:rFonts w:cstheme="minorHAnsi"/>
          <w:b/>
          <w:bCs/>
          <w:iCs/>
          <w:smallCaps/>
          <w:sz w:val="28"/>
          <w:szCs w:val="28"/>
        </w:rPr>
        <w:br w:type="page"/>
      </w:r>
    </w:p>
    <w:bookmarkEnd w:id="26"/>
    <w:p w14:paraId="2B09D6C2" w14:textId="77777777" w:rsidR="00E16609" w:rsidRPr="00397406" w:rsidRDefault="00E16609">
      <w:pPr>
        <w:pStyle w:val="Heading1"/>
      </w:pPr>
      <w:r w:rsidRPr="00397406">
        <w:lastRenderedPageBreak/>
        <w:t>Attachments</w:t>
      </w:r>
    </w:p>
    <w:p w14:paraId="33808754" w14:textId="77777777" w:rsidR="00A500D6" w:rsidRPr="00397406" w:rsidRDefault="00A500D6" w:rsidP="00E16609">
      <w:pPr>
        <w:rPr>
          <w:rFonts w:cstheme="minorHAnsi"/>
        </w:rPr>
      </w:pPr>
    </w:p>
    <w:p w14:paraId="64D46A7E" w14:textId="77777777" w:rsidR="009837BA" w:rsidRDefault="009837BA" w:rsidP="009837BA">
      <w:pPr>
        <w:pStyle w:val="ListParagraph"/>
        <w:numPr>
          <w:ilvl w:val="0"/>
          <w:numId w:val="25"/>
        </w:numPr>
        <w:rPr>
          <w:rFonts w:cstheme="minorHAnsi"/>
        </w:rPr>
      </w:pPr>
      <w:r w:rsidRPr="00AA1896">
        <w:rPr>
          <w:rFonts w:cstheme="minorHAnsi"/>
        </w:rPr>
        <w:t>SCE17WH001.</w:t>
      </w:r>
      <w:r w:rsidR="009C7E2E">
        <w:rPr>
          <w:rFonts w:cstheme="minorHAnsi"/>
        </w:rPr>
        <w:t>2</w:t>
      </w:r>
      <w:r w:rsidRPr="00AA1896">
        <w:rPr>
          <w:rFonts w:cstheme="minorHAnsi"/>
        </w:rPr>
        <w:t xml:space="preserve"> A1 - Calculation Template</w:t>
      </w:r>
    </w:p>
    <w:p w14:paraId="440660D4" w14:textId="77777777" w:rsidR="009837BA" w:rsidRDefault="009837BA" w:rsidP="009837BA">
      <w:pPr>
        <w:pStyle w:val="ListParagraph"/>
        <w:numPr>
          <w:ilvl w:val="0"/>
          <w:numId w:val="25"/>
        </w:numPr>
        <w:rPr>
          <w:rFonts w:cstheme="minorHAnsi"/>
        </w:rPr>
      </w:pPr>
      <w:r w:rsidRPr="00AA1896">
        <w:rPr>
          <w:rFonts w:cstheme="minorHAnsi"/>
        </w:rPr>
        <w:t>SCE17WH001.</w:t>
      </w:r>
      <w:r w:rsidR="009C7E2E">
        <w:rPr>
          <w:rFonts w:cstheme="minorHAnsi"/>
        </w:rPr>
        <w:t>2</w:t>
      </w:r>
      <w:r w:rsidRPr="00AA1896">
        <w:rPr>
          <w:rFonts w:cstheme="minorHAnsi"/>
        </w:rPr>
        <w:t xml:space="preserve"> A2 - Energy Impacts</w:t>
      </w:r>
    </w:p>
    <w:p w14:paraId="43BD84ED" w14:textId="77777777" w:rsidR="009837BA" w:rsidRDefault="009837BA" w:rsidP="009837BA">
      <w:pPr>
        <w:pStyle w:val="ListParagraph"/>
        <w:numPr>
          <w:ilvl w:val="0"/>
          <w:numId w:val="25"/>
        </w:numPr>
        <w:rPr>
          <w:rFonts w:cstheme="minorHAnsi"/>
        </w:rPr>
      </w:pPr>
      <w:r w:rsidRPr="00AA1896">
        <w:rPr>
          <w:rFonts w:cstheme="minorHAnsi"/>
        </w:rPr>
        <w:t>SCE17WH001.</w:t>
      </w:r>
      <w:r w:rsidR="009C7E2E">
        <w:rPr>
          <w:rFonts w:cstheme="minorHAnsi"/>
        </w:rPr>
        <w:t>2</w:t>
      </w:r>
      <w:r w:rsidRPr="00AA1896">
        <w:rPr>
          <w:rFonts w:cstheme="minorHAnsi"/>
        </w:rPr>
        <w:t xml:space="preserve"> A3 - Costs Calculations</w:t>
      </w:r>
    </w:p>
    <w:p w14:paraId="58A13EC1" w14:textId="77777777" w:rsidR="009837BA" w:rsidRDefault="009837BA" w:rsidP="009837BA">
      <w:pPr>
        <w:pStyle w:val="ListParagraph"/>
        <w:numPr>
          <w:ilvl w:val="0"/>
          <w:numId w:val="25"/>
        </w:numPr>
        <w:rPr>
          <w:rFonts w:cstheme="minorHAnsi"/>
        </w:rPr>
      </w:pPr>
      <w:r w:rsidRPr="00AA1896">
        <w:rPr>
          <w:rFonts w:cstheme="minorHAnsi"/>
        </w:rPr>
        <w:t>SCE17WH001.</w:t>
      </w:r>
      <w:r w:rsidR="009C7E2E">
        <w:rPr>
          <w:rFonts w:cstheme="minorHAnsi"/>
        </w:rPr>
        <w:t>2</w:t>
      </w:r>
      <w:r w:rsidRPr="00AA1896">
        <w:rPr>
          <w:rFonts w:cstheme="minorHAnsi"/>
        </w:rPr>
        <w:t xml:space="preserve"> A4 DEER Webinar</w:t>
      </w:r>
    </w:p>
    <w:p w14:paraId="3CF156F8" w14:textId="77777777" w:rsidR="00032A0A" w:rsidRDefault="00032A0A" w:rsidP="004D486C">
      <w:pPr>
        <w:rPr>
          <w:rFonts w:cstheme="minorHAnsi"/>
        </w:rPr>
      </w:pPr>
    </w:p>
    <w:p w14:paraId="11A22E4E" w14:textId="77777777" w:rsidR="00032A0A" w:rsidRDefault="00032A0A" w:rsidP="004D486C">
      <w:pPr>
        <w:rPr>
          <w:rFonts w:cstheme="minorHAnsi"/>
        </w:rPr>
      </w:pPr>
    </w:p>
    <w:p w14:paraId="15D72162" w14:textId="77777777" w:rsidR="00032A0A" w:rsidRDefault="00032A0A" w:rsidP="004D486C">
      <w:pPr>
        <w:rPr>
          <w:rFonts w:cstheme="minorHAnsi"/>
        </w:rPr>
      </w:pPr>
    </w:p>
    <w:p w14:paraId="7928652B" w14:textId="77777777" w:rsidR="00032A0A" w:rsidRDefault="00032A0A" w:rsidP="004D486C">
      <w:pPr>
        <w:rPr>
          <w:rFonts w:cstheme="minorHAnsi"/>
        </w:rPr>
      </w:pPr>
    </w:p>
    <w:p w14:paraId="1DBE2825" w14:textId="77777777" w:rsidR="00032A0A" w:rsidRPr="00C92629" w:rsidRDefault="00032A0A" w:rsidP="004D486C">
      <w:pPr>
        <w:rPr>
          <w:rFonts w:cstheme="minorHAnsi"/>
        </w:rPr>
      </w:pPr>
    </w:p>
    <w:p w14:paraId="2316E14B" w14:textId="77777777" w:rsidR="00C54EFF" w:rsidRPr="00397406" w:rsidRDefault="00C54EFF" w:rsidP="00C54EFF">
      <w:pPr>
        <w:pStyle w:val="Heading1"/>
        <w:rPr>
          <w:rFonts w:cstheme="minorHAnsi"/>
        </w:rPr>
      </w:pPr>
      <w:r w:rsidRPr="00397406">
        <w:rPr>
          <w:rFonts w:cstheme="minorHAnsi"/>
        </w:rPr>
        <w:t>References</w:t>
      </w:r>
    </w:p>
    <w:p w14:paraId="3FCDC985" w14:textId="6404E983" w:rsidR="009837BA" w:rsidRDefault="009837BA" w:rsidP="009837BA">
      <w:r w:rsidRPr="00A81B2A">
        <w:t>References_</w:t>
      </w:r>
      <w:r w:rsidR="00FD04E4">
        <w:t>07112018</w:t>
      </w:r>
      <w:r w:rsidRPr="00A81B2A">
        <w:t>_</w:t>
      </w:r>
      <w:r w:rsidR="00FD04E4">
        <w:t>101102</w:t>
      </w:r>
    </w:p>
    <w:p w14:paraId="54B8D3E6" w14:textId="77777777" w:rsidR="009837BA" w:rsidRPr="00A81B2A" w:rsidRDefault="009837BA" w:rsidP="009837BA"/>
    <w:tbl>
      <w:tblPr>
        <w:tblW w:w="9941" w:type="dxa"/>
        <w:tblInd w:w="93" w:type="dxa"/>
        <w:tblLook w:val="04A0" w:firstRow="1" w:lastRow="0" w:firstColumn="1" w:lastColumn="0" w:noHBand="0" w:noVBand="1"/>
      </w:tblPr>
      <w:tblGrid>
        <w:gridCol w:w="1155"/>
        <w:gridCol w:w="8786"/>
      </w:tblGrid>
      <w:tr w:rsidR="009837BA" w:rsidRPr="009A1B71" w14:paraId="7EDCAFA0" w14:textId="77777777" w:rsidTr="003B6B08">
        <w:trPr>
          <w:trHeight w:val="300"/>
        </w:trPr>
        <w:tc>
          <w:tcPr>
            <w:tcW w:w="1155" w:type="dxa"/>
            <w:tcBorders>
              <w:top w:val="nil"/>
              <w:left w:val="nil"/>
              <w:bottom w:val="nil"/>
              <w:right w:val="nil"/>
            </w:tcBorders>
            <w:shd w:val="clear" w:color="auto" w:fill="auto"/>
            <w:noWrap/>
            <w:vAlign w:val="bottom"/>
            <w:hideMark/>
          </w:tcPr>
          <w:p w14:paraId="51A5FD90" w14:textId="77777777" w:rsidR="009837BA" w:rsidRPr="009A1B71" w:rsidRDefault="009837BA" w:rsidP="003B6B08">
            <w:pPr>
              <w:rPr>
                <w:rFonts w:ascii="Calibri" w:hAnsi="Calibri"/>
                <w:color w:val="000000"/>
                <w:szCs w:val="22"/>
              </w:rPr>
            </w:pPr>
            <w:r w:rsidRPr="009A1B71">
              <w:rPr>
                <w:rFonts w:ascii="Calibri" w:hAnsi="Calibri"/>
                <w:color w:val="000000"/>
                <w:szCs w:val="22"/>
              </w:rPr>
              <w:t>[195]</w:t>
            </w:r>
          </w:p>
        </w:tc>
        <w:tc>
          <w:tcPr>
            <w:tcW w:w="8786" w:type="dxa"/>
            <w:tcBorders>
              <w:top w:val="nil"/>
              <w:left w:val="nil"/>
              <w:bottom w:val="nil"/>
              <w:right w:val="nil"/>
            </w:tcBorders>
            <w:shd w:val="clear" w:color="auto" w:fill="auto"/>
            <w:noWrap/>
            <w:vAlign w:val="bottom"/>
            <w:hideMark/>
          </w:tcPr>
          <w:p w14:paraId="67FD6370" w14:textId="77777777" w:rsidR="009837BA" w:rsidRPr="009A1B71" w:rsidRDefault="009837BA" w:rsidP="003B6B08">
            <w:pPr>
              <w:rPr>
                <w:rFonts w:ascii="Calibri" w:hAnsi="Calibri"/>
                <w:color w:val="000000"/>
                <w:szCs w:val="22"/>
              </w:rPr>
            </w:pPr>
            <w:r w:rsidRPr="009A1B71">
              <w:rPr>
                <w:rFonts w:ascii="Calibri" w:hAnsi="Calibri"/>
                <w:color w:val="000000"/>
                <w:szCs w:val="22"/>
              </w:rPr>
              <w:t>California Statewide Residential Appliance Saturation Study (RASS) Web site</w:t>
            </w:r>
          </w:p>
        </w:tc>
      </w:tr>
      <w:tr w:rsidR="009837BA" w:rsidRPr="009A1B71" w14:paraId="53A5FEFF" w14:textId="77777777" w:rsidTr="003B6B08">
        <w:trPr>
          <w:trHeight w:val="300"/>
        </w:trPr>
        <w:tc>
          <w:tcPr>
            <w:tcW w:w="1155" w:type="dxa"/>
            <w:tcBorders>
              <w:top w:val="nil"/>
              <w:left w:val="nil"/>
              <w:bottom w:val="nil"/>
              <w:right w:val="nil"/>
            </w:tcBorders>
            <w:shd w:val="clear" w:color="auto" w:fill="auto"/>
            <w:noWrap/>
            <w:vAlign w:val="bottom"/>
          </w:tcPr>
          <w:p w14:paraId="734A9B90" w14:textId="77777777" w:rsidR="009837BA" w:rsidRPr="009A1B71" w:rsidRDefault="009837BA" w:rsidP="003B6B08">
            <w:pPr>
              <w:rPr>
                <w:rFonts w:ascii="Calibri" w:hAnsi="Calibri"/>
                <w:color w:val="000000"/>
                <w:szCs w:val="22"/>
              </w:rPr>
            </w:pPr>
            <w:r w:rsidRPr="009A1B71">
              <w:rPr>
                <w:rFonts w:ascii="Calibri" w:hAnsi="Calibri"/>
                <w:color w:val="000000"/>
                <w:szCs w:val="22"/>
              </w:rPr>
              <w:t>[393]</w:t>
            </w:r>
          </w:p>
        </w:tc>
        <w:tc>
          <w:tcPr>
            <w:tcW w:w="8786" w:type="dxa"/>
            <w:tcBorders>
              <w:top w:val="nil"/>
              <w:left w:val="nil"/>
              <w:bottom w:val="nil"/>
              <w:right w:val="nil"/>
            </w:tcBorders>
            <w:shd w:val="clear" w:color="auto" w:fill="auto"/>
            <w:noWrap/>
            <w:vAlign w:val="bottom"/>
          </w:tcPr>
          <w:p w14:paraId="103EC8B2" w14:textId="77777777" w:rsidR="009837BA" w:rsidRPr="009A1B71" w:rsidRDefault="009837BA" w:rsidP="003B6B08">
            <w:pPr>
              <w:rPr>
                <w:rFonts w:ascii="Calibri" w:hAnsi="Calibri"/>
                <w:color w:val="000000"/>
                <w:szCs w:val="22"/>
              </w:rPr>
            </w:pPr>
            <w:r w:rsidRPr="009A1B71">
              <w:rPr>
                <w:rFonts w:ascii="Calibri" w:hAnsi="Calibri"/>
                <w:color w:val="000000"/>
                <w:szCs w:val="22"/>
              </w:rPr>
              <w:t>Code of Federal Regulations Title 10 - Energy</w:t>
            </w:r>
          </w:p>
        </w:tc>
      </w:tr>
      <w:tr w:rsidR="009837BA" w:rsidRPr="009A1B71" w14:paraId="02154B92" w14:textId="77777777" w:rsidTr="003B6B08">
        <w:trPr>
          <w:trHeight w:val="300"/>
        </w:trPr>
        <w:tc>
          <w:tcPr>
            <w:tcW w:w="1155" w:type="dxa"/>
            <w:tcBorders>
              <w:top w:val="nil"/>
              <w:left w:val="nil"/>
              <w:bottom w:val="nil"/>
              <w:right w:val="nil"/>
            </w:tcBorders>
            <w:shd w:val="clear" w:color="auto" w:fill="auto"/>
            <w:noWrap/>
          </w:tcPr>
          <w:p w14:paraId="22346E88" w14:textId="77777777" w:rsidR="009837BA" w:rsidRPr="009A1B71" w:rsidRDefault="009837BA" w:rsidP="003B6B08">
            <w:pPr>
              <w:rPr>
                <w:rFonts w:ascii="Calibri" w:hAnsi="Calibri"/>
                <w:color w:val="000000"/>
                <w:szCs w:val="22"/>
              </w:rPr>
            </w:pPr>
            <w:r w:rsidRPr="00E13F4D">
              <w:t>[475]</w:t>
            </w:r>
          </w:p>
        </w:tc>
        <w:tc>
          <w:tcPr>
            <w:tcW w:w="8786" w:type="dxa"/>
            <w:tcBorders>
              <w:top w:val="nil"/>
              <w:left w:val="nil"/>
              <w:bottom w:val="nil"/>
              <w:right w:val="nil"/>
            </w:tcBorders>
            <w:shd w:val="clear" w:color="auto" w:fill="auto"/>
            <w:noWrap/>
          </w:tcPr>
          <w:p w14:paraId="50810E7A" w14:textId="77777777" w:rsidR="009837BA" w:rsidRPr="009A1B71" w:rsidRDefault="009837BA" w:rsidP="003B6B08">
            <w:pPr>
              <w:rPr>
                <w:rFonts w:ascii="Calibri" w:hAnsi="Calibri"/>
                <w:color w:val="000000"/>
                <w:szCs w:val="22"/>
              </w:rPr>
            </w:pPr>
            <w:r w:rsidRPr="00E13F4D">
              <w:t>2010-2012 WO017 Ex Ante Measure Cost Study Final Report</w:t>
            </w:r>
            <w:r>
              <w:t xml:space="preserve"> (</w:t>
            </w:r>
            <w:proofErr w:type="spellStart"/>
            <w:r>
              <w:t>pgs</w:t>
            </w:r>
            <w:proofErr w:type="spellEnd"/>
            <w:r>
              <w:t xml:space="preserve"> 88 &amp; 356)</w:t>
            </w:r>
          </w:p>
        </w:tc>
      </w:tr>
      <w:tr w:rsidR="009837BA" w:rsidRPr="009A1B71" w14:paraId="007797EA" w14:textId="77777777" w:rsidTr="003B6B08">
        <w:trPr>
          <w:trHeight w:val="300"/>
        </w:trPr>
        <w:tc>
          <w:tcPr>
            <w:tcW w:w="1155" w:type="dxa"/>
            <w:tcBorders>
              <w:top w:val="nil"/>
              <w:left w:val="nil"/>
              <w:bottom w:val="nil"/>
              <w:right w:val="nil"/>
            </w:tcBorders>
            <w:shd w:val="clear" w:color="auto" w:fill="auto"/>
            <w:noWrap/>
            <w:vAlign w:val="bottom"/>
          </w:tcPr>
          <w:p w14:paraId="0600CD13" w14:textId="77777777" w:rsidR="009837BA" w:rsidRPr="009A1B71" w:rsidRDefault="009837BA" w:rsidP="003B6B08">
            <w:pPr>
              <w:rPr>
                <w:rFonts w:ascii="Calibri" w:hAnsi="Calibri"/>
                <w:color w:val="000000"/>
                <w:szCs w:val="22"/>
              </w:rPr>
            </w:pPr>
            <w:r w:rsidRPr="009A1B71">
              <w:rPr>
                <w:rFonts w:ascii="Calibri" w:hAnsi="Calibri"/>
                <w:color w:val="000000"/>
                <w:szCs w:val="22"/>
              </w:rPr>
              <w:t>[</w:t>
            </w:r>
            <w:r>
              <w:rPr>
                <w:rFonts w:ascii="Calibri" w:hAnsi="Calibri"/>
                <w:color w:val="000000"/>
                <w:szCs w:val="22"/>
              </w:rPr>
              <w:t>496</w:t>
            </w:r>
            <w:r w:rsidRPr="009A1B71">
              <w:rPr>
                <w:rFonts w:ascii="Calibri" w:hAnsi="Calibri"/>
                <w:color w:val="000000"/>
                <w:szCs w:val="22"/>
              </w:rPr>
              <w:t>]</w:t>
            </w:r>
          </w:p>
        </w:tc>
        <w:tc>
          <w:tcPr>
            <w:tcW w:w="8786" w:type="dxa"/>
            <w:tcBorders>
              <w:top w:val="nil"/>
              <w:left w:val="nil"/>
              <w:bottom w:val="nil"/>
              <w:right w:val="nil"/>
            </w:tcBorders>
            <w:shd w:val="clear" w:color="auto" w:fill="auto"/>
            <w:noWrap/>
            <w:vAlign w:val="bottom"/>
          </w:tcPr>
          <w:p w14:paraId="67C80BBF" w14:textId="77777777" w:rsidR="009837BA" w:rsidRPr="009A1B71" w:rsidRDefault="009837BA" w:rsidP="003B6B08">
            <w:pPr>
              <w:rPr>
                <w:rFonts w:ascii="Calibri" w:hAnsi="Calibri"/>
                <w:color w:val="000000"/>
                <w:szCs w:val="22"/>
              </w:rPr>
            </w:pPr>
            <w:r w:rsidRPr="009A1B71">
              <w:rPr>
                <w:rFonts w:ascii="Calibri" w:hAnsi="Calibri"/>
                <w:color w:val="000000"/>
                <w:szCs w:val="22"/>
              </w:rPr>
              <w:t>201</w:t>
            </w:r>
            <w:r>
              <w:rPr>
                <w:rFonts w:ascii="Calibri" w:hAnsi="Calibri"/>
                <w:color w:val="000000"/>
                <w:szCs w:val="22"/>
              </w:rPr>
              <w:t>6</w:t>
            </w:r>
            <w:r w:rsidRPr="009A1B71">
              <w:rPr>
                <w:rFonts w:ascii="Calibri" w:hAnsi="Calibri"/>
                <w:color w:val="000000"/>
                <w:szCs w:val="22"/>
              </w:rPr>
              <w:t xml:space="preserve"> Building Energy Efficiency Standards for Residential and Nonresidential Buildings (Title 24)</w:t>
            </w:r>
          </w:p>
        </w:tc>
      </w:tr>
      <w:tr w:rsidR="009837BA" w:rsidRPr="009A1B71" w14:paraId="77928444" w14:textId="77777777" w:rsidTr="003B6B08">
        <w:trPr>
          <w:trHeight w:val="300"/>
        </w:trPr>
        <w:tc>
          <w:tcPr>
            <w:tcW w:w="1155" w:type="dxa"/>
            <w:tcBorders>
              <w:top w:val="nil"/>
              <w:left w:val="nil"/>
              <w:bottom w:val="nil"/>
              <w:right w:val="nil"/>
            </w:tcBorders>
            <w:shd w:val="clear" w:color="auto" w:fill="auto"/>
            <w:noWrap/>
            <w:vAlign w:val="bottom"/>
            <w:hideMark/>
          </w:tcPr>
          <w:p w14:paraId="070BA807" w14:textId="77777777" w:rsidR="009837BA" w:rsidRPr="009A1B71" w:rsidRDefault="009837BA" w:rsidP="003B6B08">
            <w:pPr>
              <w:rPr>
                <w:rFonts w:ascii="Calibri" w:hAnsi="Calibri"/>
                <w:color w:val="000000"/>
                <w:szCs w:val="22"/>
              </w:rPr>
            </w:pPr>
            <w:r w:rsidRPr="009A1B71">
              <w:rPr>
                <w:rFonts w:ascii="Calibri" w:hAnsi="Calibri"/>
                <w:color w:val="000000"/>
                <w:szCs w:val="22"/>
              </w:rPr>
              <w:t>[</w:t>
            </w:r>
            <w:r>
              <w:rPr>
                <w:rFonts w:ascii="Calibri" w:hAnsi="Calibri"/>
                <w:color w:val="000000"/>
                <w:szCs w:val="22"/>
              </w:rPr>
              <w:t>508</w:t>
            </w:r>
            <w:r w:rsidRPr="009A1B71">
              <w:rPr>
                <w:rFonts w:ascii="Calibri" w:hAnsi="Calibri"/>
                <w:color w:val="000000"/>
                <w:szCs w:val="22"/>
              </w:rPr>
              <w:t>]</w:t>
            </w:r>
          </w:p>
        </w:tc>
        <w:tc>
          <w:tcPr>
            <w:tcW w:w="8786" w:type="dxa"/>
            <w:tcBorders>
              <w:top w:val="nil"/>
              <w:left w:val="nil"/>
              <w:bottom w:val="nil"/>
              <w:right w:val="nil"/>
            </w:tcBorders>
            <w:shd w:val="clear" w:color="auto" w:fill="auto"/>
            <w:noWrap/>
            <w:vAlign w:val="bottom"/>
            <w:hideMark/>
          </w:tcPr>
          <w:p w14:paraId="6539DAFA" w14:textId="77777777" w:rsidR="009837BA" w:rsidRPr="009A1B71" w:rsidRDefault="009837BA" w:rsidP="003B6B08">
            <w:pPr>
              <w:rPr>
                <w:rFonts w:ascii="Calibri" w:hAnsi="Calibri"/>
                <w:color w:val="000000"/>
                <w:szCs w:val="22"/>
              </w:rPr>
            </w:pPr>
            <w:r w:rsidRPr="009A1B71">
              <w:rPr>
                <w:rFonts w:ascii="Calibri" w:hAnsi="Calibri"/>
                <w:color w:val="000000"/>
                <w:szCs w:val="22"/>
              </w:rPr>
              <w:t>201</w:t>
            </w:r>
            <w:r>
              <w:rPr>
                <w:rFonts w:ascii="Calibri" w:hAnsi="Calibri"/>
                <w:color w:val="000000"/>
                <w:szCs w:val="22"/>
              </w:rPr>
              <w:t>6</w:t>
            </w:r>
            <w:r w:rsidRPr="009A1B71">
              <w:rPr>
                <w:rFonts w:ascii="Calibri" w:hAnsi="Calibri"/>
                <w:color w:val="000000"/>
                <w:szCs w:val="22"/>
              </w:rPr>
              <w:t xml:space="preserve"> Appliance Efficiency Regulations (Title 20)</w:t>
            </w:r>
          </w:p>
        </w:tc>
      </w:tr>
    </w:tbl>
    <w:p w14:paraId="4AE92C53" w14:textId="77777777" w:rsidR="00AB36DB" w:rsidRPr="00397406" w:rsidRDefault="00AB36DB" w:rsidP="00AB36DB"/>
    <w:sectPr w:rsidR="00AB36DB" w:rsidRPr="00397406" w:rsidSect="00E87C8F">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9FBE39" w16cid:durableId="1F7C6CA0"/>
  <w16cid:commentId w16cid:paraId="165140D0" w16cid:durableId="1F7C6CA1"/>
  <w16cid:commentId w16cid:paraId="46303691" w16cid:durableId="1F7C6CA2"/>
  <w16cid:commentId w16cid:paraId="66360676" w16cid:durableId="1F7C6CA3"/>
  <w16cid:commentId w16cid:paraId="41A2D5BA" w16cid:durableId="1F7C6F50"/>
  <w16cid:commentId w16cid:paraId="25B0E915" w16cid:durableId="1F7C6CA4"/>
  <w16cid:commentId w16cid:paraId="0EEA963C" w16cid:durableId="1F7C6CA5"/>
  <w16cid:commentId w16cid:paraId="589239D6" w16cid:durableId="1F7C6F4C"/>
  <w16cid:commentId w16cid:paraId="7CC1AFDD" w16cid:durableId="1F7C6CA6"/>
  <w16cid:commentId w16cid:paraId="55B104B5" w16cid:durableId="1F7C6CA7"/>
  <w16cid:commentId w16cid:paraId="030E6F9F" w16cid:durableId="1F7C6CA8"/>
  <w16cid:commentId w16cid:paraId="5BDCCE66" w16cid:durableId="1F7C6CA9"/>
  <w16cid:commentId w16cid:paraId="40E6FC45" w16cid:durableId="1F7C6CAA"/>
  <w16cid:commentId w16cid:paraId="7868AC0B" w16cid:durableId="1F7C6D82"/>
  <w16cid:commentId w16cid:paraId="629D1F0D" w16cid:durableId="1F7C6CAB"/>
  <w16cid:commentId w16cid:paraId="40BD15B5" w16cid:durableId="1F7C6CAC"/>
  <w16cid:commentId w16cid:paraId="30F68E62" w16cid:durableId="1F7C6CAD"/>
  <w16cid:commentId w16cid:paraId="7DC0FFF8" w16cid:durableId="1F7C6F3E"/>
  <w16cid:commentId w16cid:paraId="7028BA09" w16cid:durableId="1F7C6CAE"/>
  <w16cid:commentId w16cid:paraId="6575EFAA" w16cid:durableId="1F7C6E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F4306" w14:textId="77777777" w:rsidR="00E421D4" w:rsidRDefault="00E421D4" w:rsidP="00447D6E">
      <w:r>
        <w:separator/>
      </w:r>
    </w:p>
  </w:endnote>
  <w:endnote w:type="continuationSeparator" w:id="0">
    <w:p w14:paraId="70216AEF" w14:textId="77777777" w:rsidR="00E421D4" w:rsidRDefault="00E421D4"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35936" w14:textId="3280FEA7" w:rsidR="00E421D4" w:rsidRDefault="00E421D4"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8-12-03T00:00:00Z">
          <w:dateFormat w:val="MMMM d, yyyy"/>
          <w:lid w:val="en-US"/>
          <w:storeMappedDataAs w:val="dateTime"/>
          <w:calendar w:val="gregorian"/>
        </w:date>
      </w:sdtPr>
      <w:sdtContent>
        <w:r>
          <w:rPr>
            <w:rFonts w:cstheme="minorHAnsi"/>
            <w:b/>
            <w:sz w:val="36"/>
            <w:szCs w:val="36"/>
          </w:rPr>
          <w:t>December 3, 2018</w:t>
        </w:r>
      </w:sdtContent>
    </w:sdt>
  </w:p>
  <w:p w14:paraId="23D21515" w14:textId="77777777" w:rsidR="00E421D4" w:rsidRPr="009500DC" w:rsidRDefault="00E421D4" w:rsidP="00447D6E">
    <w:pPr>
      <w:pStyle w:val="Footer"/>
      <w:jc w:val="right"/>
      <w:rPr>
        <w:rFonts w:cstheme="minorHAnsi"/>
      </w:rPr>
    </w:pPr>
    <w:r>
      <w:rPr>
        <w:rFonts w:cstheme="minorHAnsi"/>
        <w:b/>
        <w:sz w:val="36"/>
        <w:szCs w:val="36"/>
      </w:rPr>
      <w:fldChar w:fldCharType="begin"/>
    </w:r>
    <w:r>
      <w:rPr>
        <w:rFonts w:cstheme="minorHAnsi"/>
        <w:b/>
        <w:sz w:val="36"/>
        <w:szCs w:val="36"/>
      </w:rPr>
      <w:instrText xml:space="preserve"> REF WPnumber </w:instrText>
    </w:r>
    <w:r>
      <w:rPr>
        <w:rFonts w:cstheme="minorHAnsi"/>
        <w:b/>
        <w:sz w:val="36"/>
        <w:szCs w:val="3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A9CB" w14:textId="044445A9" w:rsidR="00E421D4" w:rsidRPr="009500DC" w:rsidRDefault="00E421D4"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SCE17WH001</w:t>
        </w:r>
      </w:sdtContent>
    </w:sdt>
    <w:r>
      <w:rPr>
        <w:rFonts w:cstheme="minorHAnsi"/>
        <w:b/>
        <w:sz w:val="20"/>
        <w:szCs w:val="20"/>
      </w:rPr>
      <w:t xml:space="preserve">, </w:t>
    </w:r>
    <w:sdt>
      <w:sdtPr>
        <w:rPr>
          <w:rFonts w:cstheme="minorHAnsi"/>
          <w:b/>
          <w:sz w:val="20"/>
          <w:szCs w:val="20"/>
        </w:rPr>
        <w:alias w:val="Revision"/>
        <w:tag w:val=""/>
        <w:id w:val="-979308963"/>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2</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E0285B">
      <w:rPr>
        <w:rFonts w:cstheme="minorHAnsi"/>
        <w:b/>
        <w:noProof/>
        <w:sz w:val="20"/>
        <w:szCs w:val="20"/>
      </w:rPr>
      <w:t>12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794524137"/>
        <w:dataBinding w:prefixMappings="xmlns:ns0='http://schemas.microsoft.com/office/2006/coverPageProps' " w:xpath="/ns0:CoverPageProperties[1]/ns0:PublishDate[1]" w:storeItemID="{55AF091B-3C7A-41E3-B477-F2FDAA23CFDA}"/>
        <w:date w:fullDate="2018-12-03T00:00:00Z">
          <w:dateFormat w:val="MMMM d, yyyy"/>
          <w:lid w:val="en-US"/>
          <w:storeMappedDataAs w:val="dateTime"/>
          <w:calendar w:val="gregorian"/>
        </w:date>
      </w:sdtPr>
      <w:sdtContent>
        <w:r>
          <w:rPr>
            <w:rFonts w:cstheme="minorHAnsi"/>
            <w:b/>
            <w:sz w:val="20"/>
            <w:szCs w:val="20"/>
          </w:rPr>
          <w:t>December 3, 2018</w:t>
        </w:r>
      </w:sdtContent>
    </w:sdt>
  </w:p>
  <w:p w14:paraId="61508E43" w14:textId="77777777" w:rsidR="00E421D4" w:rsidRPr="009500DC" w:rsidRDefault="00E421D4" w:rsidP="009500DC">
    <w:pPr>
      <w:pStyle w:val="Footer"/>
      <w:pBdr>
        <w:top w:val="single" w:sz="4" w:space="1" w:color="auto"/>
      </w:pBdr>
      <w:rPr>
        <w:rFonts w:cstheme="minorHAnsi"/>
      </w:rPr>
    </w:pPr>
    <w:sdt>
      <w:sdtPr>
        <w:rPr>
          <w:rFonts w:cstheme="minorHAnsi"/>
          <w:b/>
          <w:sz w:val="20"/>
          <w:szCs w:val="20"/>
        </w:rPr>
        <w:alias w:val="Company"/>
        <w:tag w:val=""/>
        <w:id w:val="-62724045"/>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 Company</w:t>
        </w:r>
      </w:sdtContent>
    </w:sdt>
  </w:p>
  <w:p w14:paraId="6A6E7F0C" w14:textId="77777777" w:rsidR="00E421D4" w:rsidRDefault="00E421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3CDA0" w14:textId="77777777" w:rsidR="00E421D4" w:rsidRDefault="00E421D4" w:rsidP="00447D6E">
      <w:r>
        <w:separator/>
      </w:r>
    </w:p>
  </w:footnote>
  <w:footnote w:type="continuationSeparator" w:id="0">
    <w:p w14:paraId="61786817" w14:textId="77777777" w:rsidR="00E421D4" w:rsidRDefault="00E421D4"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 w15:restartNumberingAfterBreak="0">
    <w:nsid w:val="0F305553"/>
    <w:multiLevelType w:val="hybridMultilevel"/>
    <w:tmpl w:val="27266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B079D"/>
    <w:multiLevelType w:val="hybridMultilevel"/>
    <w:tmpl w:val="838E4A2A"/>
    <w:lvl w:ilvl="0" w:tplc="53D22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437EF"/>
    <w:multiLevelType w:val="hybridMultilevel"/>
    <w:tmpl w:val="3418C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872C17"/>
    <w:multiLevelType w:val="hybridMultilevel"/>
    <w:tmpl w:val="47308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367DDC"/>
    <w:multiLevelType w:val="hybridMultilevel"/>
    <w:tmpl w:val="AC70E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C14A7"/>
    <w:multiLevelType w:val="hybridMultilevel"/>
    <w:tmpl w:val="ED30E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8C1D52"/>
    <w:multiLevelType w:val="hybridMultilevel"/>
    <w:tmpl w:val="2166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D22823"/>
    <w:multiLevelType w:val="hybridMultilevel"/>
    <w:tmpl w:val="34727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655F3D"/>
    <w:multiLevelType w:val="hybridMultilevel"/>
    <w:tmpl w:val="E68C4C5A"/>
    <w:lvl w:ilvl="0" w:tplc="4D38DB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0"/>
  </w:num>
  <w:num w:numId="5">
    <w:abstractNumId w:val="10"/>
  </w:num>
  <w:num w:numId="6">
    <w:abstractNumId w:val="0"/>
  </w:num>
  <w:num w:numId="7">
    <w:abstractNumId w:val="14"/>
  </w:num>
  <w:num w:numId="8">
    <w:abstractNumId w:val="11"/>
  </w:num>
  <w:num w:numId="9">
    <w:abstractNumId w:val="6"/>
  </w:num>
  <w:num w:numId="10">
    <w:abstractNumId w:val="3"/>
  </w:num>
  <w:num w:numId="11">
    <w:abstractNumId w:val="15"/>
  </w:num>
  <w:num w:numId="12">
    <w:abstractNumId w:val="9"/>
  </w:num>
  <w:num w:numId="13">
    <w:abstractNumId w:val="5"/>
  </w:num>
  <w:num w:numId="14">
    <w:abstractNumId w:val="17"/>
  </w:num>
  <w:num w:numId="15">
    <w:abstractNumId w:val="19"/>
  </w:num>
  <w:num w:numId="16">
    <w:abstractNumId w:val="2"/>
  </w:num>
  <w:num w:numId="17">
    <w:abstractNumId w:val="22"/>
  </w:num>
  <w:num w:numId="18">
    <w:abstractNumId w:val="8"/>
  </w:num>
  <w:num w:numId="19">
    <w:abstractNumId w:val="7"/>
  </w:num>
  <w:num w:numId="20">
    <w:abstractNumId w:val="21"/>
  </w:num>
  <w:num w:numId="21">
    <w:abstractNumId w:val="4"/>
  </w:num>
  <w:num w:numId="22">
    <w:abstractNumId w:val="20"/>
  </w:num>
  <w:num w:numId="23">
    <w:abstractNumId w:val="16"/>
  </w:num>
  <w:num w:numId="24">
    <w:abstractNumId w:val="1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06B"/>
    <w:rsid w:val="00004A2B"/>
    <w:rsid w:val="00005902"/>
    <w:rsid w:val="00006B1F"/>
    <w:rsid w:val="00011EC7"/>
    <w:rsid w:val="000173BF"/>
    <w:rsid w:val="00024252"/>
    <w:rsid w:val="00024961"/>
    <w:rsid w:val="00027183"/>
    <w:rsid w:val="000304DC"/>
    <w:rsid w:val="00032A0A"/>
    <w:rsid w:val="00033EA1"/>
    <w:rsid w:val="000343F3"/>
    <w:rsid w:val="00036D91"/>
    <w:rsid w:val="0004362F"/>
    <w:rsid w:val="00051EAC"/>
    <w:rsid w:val="00056947"/>
    <w:rsid w:val="00061A8E"/>
    <w:rsid w:val="000638FD"/>
    <w:rsid w:val="00064CB3"/>
    <w:rsid w:val="00070BEE"/>
    <w:rsid w:val="00072040"/>
    <w:rsid w:val="00076DF4"/>
    <w:rsid w:val="00076F51"/>
    <w:rsid w:val="00086356"/>
    <w:rsid w:val="00086F7F"/>
    <w:rsid w:val="0009074D"/>
    <w:rsid w:val="00094576"/>
    <w:rsid w:val="0009592B"/>
    <w:rsid w:val="000968C6"/>
    <w:rsid w:val="000971DE"/>
    <w:rsid w:val="000A2D48"/>
    <w:rsid w:val="000A63C9"/>
    <w:rsid w:val="000A6DDB"/>
    <w:rsid w:val="000A7181"/>
    <w:rsid w:val="000C0000"/>
    <w:rsid w:val="000C18CC"/>
    <w:rsid w:val="000C407F"/>
    <w:rsid w:val="000C49C9"/>
    <w:rsid w:val="000C7ED1"/>
    <w:rsid w:val="000D41D7"/>
    <w:rsid w:val="000D67F0"/>
    <w:rsid w:val="000E42D9"/>
    <w:rsid w:val="000E706D"/>
    <w:rsid w:val="000F12BA"/>
    <w:rsid w:val="000F130A"/>
    <w:rsid w:val="000F5E43"/>
    <w:rsid w:val="000F656D"/>
    <w:rsid w:val="000F781C"/>
    <w:rsid w:val="00107242"/>
    <w:rsid w:val="001206F7"/>
    <w:rsid w:val="00133EAA"/>
    <w:rsid w:val="00147155"/>
    <w:rsid w:val="00151B62"/>
    <w:rsid w:val="00153CB3"/>
    <w:rsid w:val="00154C3B"/>
    <w:rsid w:val="001613F0"/>
    <w:rsid w:val="0016270E"/>
    <w:rsid w:val="00165357"/>
    <w:rsid w:val="00165C76"/>
    <w:rsid w:val="0017205E"/>
    <w:rsid w:val="001722B7"/>
    <w:rsid w:val="00172557"/>
    <w:rsid w:val="001811EE"/>
    <w:rsid w:val="00181D1D"/>
    <w:rsid w:val="00182F6B"/>
    <w:rsid w:val="001979AF"/>
    <w:rsid w:val="001A08D7"/>
    <w:rsid w:val="001A0EB4"/>
    <w:rsid w:val="001A5F62"/>
    <w:rsid w:val="001B2E1D"/>
    <w:rsid w:val="001B3A53"/>
    <w:rsid w:val="001B618B"/>
    <w:rsid w:val="001C1338"/>
    <w:rsid w:val="001C4140"/>
    <w:rsid w:val="001C5A94"/>
    <w:rsid w:val="001D3223"/>
    <w:rsid w:val="001D33EF"/>
    <w:rsid w:val="001D36B2"/>
    <w:rsid w:val="001D4669"/>
    <w:rsid w:val="001D6185"/>
    <w:rsid w:val="001E0736"/>
    <w:rsid w:val="001E0829"/>
    <w:rsid w:val="001F05CE"/>
    <w:rsid w:val="001F4A65"/>
    <w:rsid w:val="001F4AC0"/>
    <w:rsid w:val="001F4FF2"/>
    <w:rsid w:val="002066FD"/>
    <w:rsid w:val="0021035B"/>
    <w:rsid w:val="0023254A"/>
    <w:rsid w:val="00236216"/>
    <w:rsid w:val="00240B74"/>
    <w:rsid w:val="00243D45"/>
    <w:rsid w:val="00245900"/>
    <w:rsid w:val="00251C7B"/>
    <w:rsid w:val="00252B00"/>
    <w:rsid w:val="00263C1C"/>
    <w:rsid w:val="00263CF0"/>
    <w:rsid w:val="00266FB8"/>
    <w:rsid w:val="00274FBE"/>
    <w:rsid w:val="002762E1"/>
    <w:rsid w:val="002811BC"/>
    <w:rsid w:val="00283DE8"/>
    <w:rsid w:val="00285966"/>
    <w:rsid w:val="00285A0D"/>
    <w:rsid w:val="00290ED8"/>
    <w:rsid w:val="002939AE"/>
    <w:rsid w:val="00296B49"/>
    <w:rsid w:val="002A3D26"/>
    <w:rsid w:val="002B0DC0"/>
    <w:rsid w:val="002B1430"/>
    <w:rsid w:val="002B1A68"/>
    <w:rsid w:val="002B1ADF"/>
    <w:rsid w:val="002C444C"/>
    <w:rsid w:val="002C6C7A"/>
    <w:rsid w:val="002C7F78"/>
    <w:rsid w:val="002D14B1"/>
    <w:rsid w:val="002D5277"/>
    <w:rsid w:val="002D71FA"/>
    <w:rsid w:val="002F1437"/>
    <w:rsid w:val="002F3943"/>
    <w:rsid w:val="002F4333"/>
    <w:rsid w:val="002F4E34"/>
    <w:rsid w:val="002F79E7"/>
    <w:rsid w:val="00300CC9"/>
    <w:rsid w:val="0030363A"/>
    <w:rsid w:val="00317EB0"/>
    <w:rsid w:val="0032543A"/>
    <w:rsid w:val="0033156E"/>
    <w:rsid w:val="00332700"/>
    <w:rsid w:val="00333163"/>
    <w:rsid w:val="00345D80"/>
    <w:rsid w:val="003471D4"/>
    <w:rsid w:val="00350B12"/>
    <w:rsid w:val="003557E9"/>
    <w:rsid w:val="003560BA"/>
    <w:rsid w:val="003832D2"/>
    <w:rsid w:val="00384F16"/>
    <w:rsid w:val="003859F7"/>
    <w:rsid w:val="00393137"/>
    <w:rsid w:val="003931D6"/>
    <w:rsid w:val="00397406"/>
    <w:rsid w:val="00397A90"/>
    <w:rsid w:val="00397ACE"/>
    <w:rsid w:val="003A528F"/>
    <w:rsid w:val="003B6B08"/>
    <w:rsid w:val="003D2871"/>
    <w:rsid w:val="003D5B83"/>
    <w:rsid w:val="003E6E47"/>
    <w:rsid w:val="003F0623"/>
    <w:rsid w:val="003F3A41"/>
    <w:rsid w:val="00401031"/>
    <w:rsid w:val="00401A69"/>
    <w:rsid w:val="00407572"/>
    <w:rsid w:val="00413CDB"/>
    <w:rsid w:val="004200FE"/>
    <w:rsid w:val="00421183"/>
    <w:rsid w:val="00426CDE"/>
    <w:rsid w:val="004301E5"/>
    <w:rsid w:val="00441957"/>
    <w:rsid w:val="00443D32"/>
    <w:rsid w:val="00444831"/>
    <w:rsid w:val="004469DD"/>
    <w:rsid w:val="00447CE5"/>
    <w:rsid w:val="00447D6E"/>
    <w:rsid w:val="004501CD"/>
    <w:rsid w:val="00451458"/>
    <w:rsid w:val="00455828"/>
    <w:rsid w:val="0046286E"/>
    <w:rsid w:val="00463BD4"/>
    <w:rsid w:val="00471234"/>
    <w:rsid w:val="00472250"/>
    <w:rsid w:val="00474009"/>
    <w:rsid w:val="0047437C"/>
    <w:rsid w:val="00477522"/>
    <w:rsid w:val="00493457"/>
    <w:rsid w:val="00494628"/>
    <w:rsid w:val="004A1650"/>
    <w:rsid w:val="004A3E5C"/>
    <w:rsid w:val="004A63A3"/>
    <w:rsid w:val="004B118F"/>
    <w:rsid w:val="004B4A3A"/>
    <w:rsid w:val="004B533C"/>
    <w:rsid w:val="004B750E"/>
    <w:rsid w:val="004C2244"/>
    <w:rsid w:val="004C23F1"/>
    <w:rsid w:val="004D1ED6"/>
    <w:rsid w:val="004D486C"/>
    <w:rsid w:val="004E01F5"/>
    <w:rsid w:val="004E297E"/>
    <w:rsid w:val="004E76CA"/>
    <w:rsid w:val="004F1698"/>
    <w:rsid w:val="0051020F"/>
    <w:rsid w:val="00513CAB"/>
    <w:rsid w:val="0052255E"/>
    <w:rsid w:val="00523736"/>
    <w:rsid w:val="005476F6"/>
    <w:rsid w:val="00555D98"/>
    <w:rsid w:val="00560934"/>
    <w:rsid w:val="00563D39"/>
    <w:rsid w:val="00564960"/>
    <w:rsid w:val="005729C8"/>
    <w:rsid w:val="005734A4"/>
    <w:rsid w:val="00576C4C"/>
    <w:rsid w:val="005A0E53"/>
    <w:rsid w:val="005A1078"/>
    <w:rsid w:val="005A4658"/>
    <w:rsid w:val="005B28C1"/>
    <w:rsid w:val="005B2FC5"/>
    <w:rsid w:val="005C2CA4"/>
    <w:rsid w:val="005C2E48"/>
    <w:rsid w:val="005C3F23"/>
    <w:rsid w:val="005C4B38"/>
    <w:rsid w:val="005C5688"/>
    <w:rsid w:val="005D0414"/>
    <w:rsid w:val="005D4DD7"/>
    <w:rsid w:val="005E12A9"/>
    <w:rsid w:val="005F139E"/>
    <w:rsid w:val="0060028B"/>
    <w:rsid w:val="00602799"/>
    <w:rsid w:val="0060362B"/>
    <w:rsid w:val="00605FC6"/>
    <w:rsid w:val="00612041"/>
    <w:rsid w:val="00614AFF"/>
    <w:rsid w:val="00621ABA"/>
    <w:rsid w:val="00631157"/>
    <w:rsid w:val="006404E6"/>
    <w:rsid w:val="0064729D"/>
    <w:rsid w:val="00647ABE"/>
    <w:rsid w:val="006618E5"/>
    <w:rsid w:val="00663E57"/>
    <w:rsid w:val="00664B05"/>
    <w:rsid w:val="00665B92"/>
    <w:rsid w:val="0067143E"/>
    <w:rsid w:val="006715E8"/>
    <w:rsid w:val="006746FE"/>
    <w:rsid w:val="00675017"/>
    <w:rsid w:val="00676E9F"/>
    <w:rsid w:val="00685D5C"/>
    <w:rsid w:val="0068686F"/>
    <w:rsid w:val="00697868"/>
    <w:rsid w:val="006A055F"/>
    <w:rsid w:val="006A5293"/>
    <w:rsid w:val="006A6D15"/>
    <w:rsid w:val="006B0DF3"/>
    <w:rsid w:val="006B0F52"/>
    <w:rsid w:val="006B3A26"/>
    <w:rsid w:val="006B3FA7"/>
    <w:rsid w:val="006B4A48"/>
    <w:rsid w:val="006C2C55"/>
    <w:rsid w:val="006C430A"/>
    <w:rsid w:val="006C5270"/>
    <w:rsid w:val="006D2809"/>
    <w:rsid w:val="006E3342"/>
    <w:rsid w:val="006E4B12"/>
    <w:rsid w:val="006F76EA"/>
    <w:rsid w:val="006F78D5"/>
    <w:rsid w:val="0070091B"/>
    <w:rsid w:val="00703ACD"/>
    <w:rsid w:val="007048AC"/>
    <w:rsid w:val="0071057C"/>
    <w:rsid w:val="007146F0"/>
    <w:rsid w:val="007244C7"/>
    <w:rsid w:val="00727138"/>
    <w:rsid w:val="00733C7D"/>
    <w:rsid w:val="00740761"/>
    <w:rsid w:val="00745F77"/>
    <w:rsid w:val="007464DE"/>
    <w:rsid w:val="00755A45"/>
    <w:rsid w:val="00760CDC"/>
    <w:rsid w:val="00764D0D"/>
    <w:rsid w:val="007772A6"/>
    <w:rsid w:val="00783196"/>
    <w:rsid w:val="0078551D"/>
    <w:rsid w:val="007933F1"/>
    <w:rsid w:val="007A21B4"/>
    <w:rsid w:val="007A33E7"/>
    <w:rsid w:val="007B5904"/>
    <w:rsid w:val="007C42E6"/>
    <w:rsid w:val="007D52EB"/>
    <w:rsid w:val="007E43F8"/>
    <w:rsid w:val="007E5076"/>
    <w:rsid w:val="007E656B"/>
    <w:rsid w:val="007E6EBC"/>
    <w:rsid w:val="007E7620"/>
    <w:rsid w:val="007F1E54"/>
    <w:rsid w:val="007F2997"/>
    <w:rsid w:val="007F50E8"/>
    <w:rsid w:val="007F54E2"/>
    <w:rsid w:val="007F7FBA"/>
    <w:rsid w:val="00800319"/>
    <w:rsid w:val="0080044E"/>
    <w:rsid w:val="00800572"/>
    <w:rsid w:val="00801F7F"/>
    <w:rsid w:val="008030BC"/>
    <w:rsid w:val="0080315E"/>
    <w:rsid w:val="008043CD"/>
    <w:rsid w:val="00824F1C"/>
    <w:rsid w:val="00826688"/>
    <w:rsid w:val="00830082"/>
    <w:rsid w:val="00833391"/>
    <w:rsid w:val="00835D38"/>
    <w:rsid w:val="008526C2"/>
    <w:rsid w:val="008532FE"/>
    <w:rsid w:val="00862DAD"/>
    <w:rsid w:val="00874CDB"/>
    <w:rsid w:val="00881A42"/>
    <w:rsid w:val="00885E0A"/>
    <w:rsid w:val="0088603B"/>
    <w:rsid w:val="00886D9D"/>
    <w:rsid w:val="00893FC3"/>
    <w:rsid w:val="0089577B"/>
    <w:rsid w:val="008A433B"/>
    <w:rsid w:val="008B1024"/>
    <w:rsid w:val="008B1084"/>
    <w:rsid w:val="008B1357"/>
    <w:rsid w:val="008B197E"/>
    <w:rsid w:val="008B2DF3"/>
    <w:rsid w:val="008C2E0E"/>
    <w:rsid w:val="008D3930"/>
    <w:rsid w:val="008E17CC"/>
    <w:rsid w:val="008E25B1"/>
    <w:rsid w:val="008F2167"/>
    <w:rsid w:val="008F33B4"/>
    <w:rsid w:val="008F7C02"/>
    <w:rsid w:val="0090077A"/>
    <w:rsid w:val="00904ADA"/>
    <w:rsid w:val="00907697"/>
    <w:rsid w:val="009138A0"/>
    <w:rsid w:val="0091424C"/>
    <w:rsid w:val="00922B85"/>
    <w:rsid w:val="00930CDC"/>
    <w:rsid w:val="00932089"/>
    <w:rsid w:val="00933188"/>
    <w:rsid w:val="00935AF9"/>
    <w:rsid w:val="009403A5"/>
    <w:rsid w:val="00946903"/>
    <w:rsid w:val="009500DC"/>
    <w:rsid w:val="00951923"/>
    <w:rsid w:val="00972C81"/>
    <w:rsid w:val="009824E9"/>
    <w:rsid w:val="009837BA"/>
    <w:rsid w:val="009941EB"/>
    <w:rsid w:val="00994C78"/>
    <w:rsid w:val="00995479"/>
    <w:rsid w:val="00995CB0"/>
    <w:rsid w:val="00997E77"/>
    <w:rsid w:val="009A1B71"/>
    <w:rsid w:val="009A1C47"/>
    <w:rsid w:val="009A2734"/>
    <w:rsid w:val="009B5B7B"/>
    <w:rsid w:val="009C09AF"/>
    <w:rsid w:val="009C1777"/>
    <w:rsid w:val="009C1F12"/>
    <w:rsid w:val="009C2C86"/>
    <w:rsid w:val="009C6E26"/>
    <w:rsid w:val="009C7E2E"/>
    <w:rsid w:val="009D0753"/>
    <w:rsid w:val="009D5131"/>
    <w:rsid w:val="009D651B"/>
    <w:rsid w:val="009E1802"/>
    <w:rsid w:val="009E1CDE"/>
    <w:rsid w:val="009E51E2"/>
    <w:rsid w:val="009F1007"/>
    <w:rsid w:val="009F7A61"/>
    <w:rsid w:val="00A00CD9"/>
    <w:rsid w:val="00A10E5C"/>
    <w:rsid w:val="00A11800"/>
    <w:rsid w:val="00A11C16"/>
    <w:rsid w:val="00A1423E"/>
    <w:rsid w:val="00A143DA"/>
    <w:rsid w:val="00A17664"/>
    <w:rsid w:val="00A24520"/>
    <w:rsid w:val="00A32301"/>
    <w:rsid w:val="00A345BC"/>
    <w:rsid w:val="00A500D6"/>
    <w:rsid w:val="00A523FF"/>
    <w:rsid w:val="00A524BF"/>
    <w:rsid w:val="00A57209"/>
    <w:rsid w:val="00A57D36"/>
    <w:rsid w:val="00A6681D"/>
    <w:rsid w:val="00A66E03"/>
    <w:rsid w:val="00A67907"/>
    <w:rsid w:val="00A731E5"/>
    <w:rsid w:val="00A84127"/>
    <w:rsid w:val="00A86DA2"/>
    <w:rsid w:val="00A87969"/>
    <w:rsid w:val="00A97FEC"/>
    <w:rsid w:val="00AB21D4"/>
    <w:rsid w:val="00AB21F5"/>
    <w:rsid w:val="00AB3386"/>
    <w:rsid w:val="00AB36DB"/>
    <w:rsid w:val="00AC0B1D"/>
    <w:rsid w:val="00AC5309"/>
    <w:rsid w:val="00AD4DD0"/>
    <w:rsid w:val="00AE1A15"/>
    <w:rsid w:val="00AE1E95"/>
    <w:rsid w:val="00AE28B2"/>
    <w:rsid w:val="00AF6342"/>
    <w:rsid w:val="00B04F4B"/>
    <w:rsid w:val="00B053FB"/>
    <w:rsid w:val="00B07EE5"/>
    <w:rsid w:val="00B21CC5"/>
    <w:rsid w:val="00B26778"/>
    <w:rsid w:val="00B26B83"/>
    <w:rsid w:val="00B32479"/>
    <w:rsid w:val="00B36B68"/>
    <w:rsid w:val="00B403ED"/>
    <w:rsid w:val="00B4065F"/>
    <w:rsid w:val="00B60A30"/>
    <w:rsid w:val="00B659B2"/>
    <w:rsid w:val="00B80543"/>
    <w:rsid w:val="00B81EF8"/>
    <w:rsid w:val="00B866B4"/>
    <w:rsid w:val="00B94226"/>
    <w:rsid w:val="00B95CCD"/>
    <w:rsid w:val="00BA0A8C"/>
    <w:rsid w:val="00BA1D02"/>
    <w:rsid w:val="00BA2E7E"/>
    <w:rsid w:val="00BA590A"/>
    <w:rsid w:val="00BB0B39"/>
    <w:rsid w:val="00BB30D1"/>
    <w:rsid w:val="00BB38BA"/>
    <w:rsid w:val="00BB5F75"/>
    <w:rsid w:val="00BC6524"/>
    <w:rsid w:val="00BD3931"/>
    <w:rsid w:val="00BD5B88"/>
    <w:rsid w:val="00BF626B"/>
    <w:rsid w:val="00C02524"/>
    <w:rsid w:val="00C17A10"/>
    <w:rsid w:val="00C24D03"/>
    <w:rsid w:val="00C25E61"/>
    <w:rsid w:val="00C46C92"/>
    <w:rsid w:val="00C524B6"/>
    <w:rsid w:val="00C54EFF"/>
    <w:rsid w:val="00C55D03"/>
    <w:rsid w:val="00C607F6"/>
    <w:rsid w:val="00C67E59"/>
    <w:rsid w:val="00C72B8B"/>
    <w:rsid w:val="00C72CB5"/>
    <w:rsid w:val="00C805BC"/>
    <w:rsid w:val="00C844AD"/>
    <w:rsid w:val="00C8576E"/>
    <w:rsid w:val="00C90189"/>
    <w:rsid w:val="00C92629"/>
    <w:rsid w:val="00CA2AB4"/>
    <w:rsid w:val="00CA5DC4"/>
    <w:rsid w:val="00CA78B2"/>
    <w:rsid w:val="00CB0100"/>
    <w:rsid w:val="00CC5AFA"/>
    <w:rsid w:val="00CD549B"/>
    <w:rsid w:val="00CD68EC"/>
    <w:rsid w:val="00CE0C66"/>
    <w:rsid w:val="00CE28CF"/>
    <w:rsid w:val="00CE402E"/>
    <w:rsid w:val="00CE4386"/>
    <w:rsid w:val="00CE5BEB"/>
    <w:rsid w:val="00CE6307"/>
    <w:rsid w:val="00CE69E9"/>
    <w:rsid w:val="00CF3978"/>
    <w:rsid w:val="00CF464D"/>
    <w:rsid w:val="00D035F7"/>
    <w:rsid w:val="00D039A2"/>
    <w:rsid w:val="00D25074"/>
    <w:rsid w:val="00D35FB1"/>
    <w:rsid w:val="00D36798"/>
    <w:rsid w:val="00D47E80"/>
    <w:rsid w:val="00D5369B"/>
    <w:rsid w:val="00D639E3"/>
    <w:rsid w:val="00D72051"/>
    <w:rsid w:val="00D7380B"/>
    <w:rsid w:val="00D75D77"/>
    <w:rsid w:val="00D806B4"/>
    <w:rsid w:val="00D928E6"/>
    <w:rsid w:val="00D9433D"/>
    <w:rsid w:val="00D957E4"/>
    <w:rsid w:val="00DA089A"/>
    <w:rsid w:val="00DA11A0"/>
    <w:rsid w:val="00DA64D2"/>
    <w:rsid w:val="00DA690B"/>
    <w:rsid w:val="00DA7225"/>
    <w:rsid w:val="00DC1966"/>
    <w:rsid w:val="00DC3259"/>
    <w:rsid w:val="00DD0523"/>
    <w:rsid w:val="00DD712C"/>
    <w:rsid w:val="00DE5758"/>
    <w:rsid w:val="00DE5FCF"/>
    <w:rsid w:val="00DF0D19"/>
    <w:rsid w:val="00DF2EE9"/>
    <w:rsid w:val="00DF6FD8"/>
    <w:rsid w:val="00E01372"/>
    <w:rsid w:val="00E0285B"/>
    <w:rsid w:val="00E05A80"/>
    <w:rsid w:val="00E071A5"/>
    <w:rsid w:val="00E07752"/>
    <w:rsid w:val="00E16609"/>
    <w:rsid w:val="00E16F08"/>
    <w:rsid w:val="00E233F3"/>
    <w:rsid w:val="00E26B34"/>
    <w:rsid w:val="00E34202"/>
    <w:rsid w:val="00E37F72"/>
    <w:rsid w:val="00E40CF9"/>
    <w:rsid w:val="00E421D4"/>
    <w:rsid w:val="00E42A30"/>
    <w:rsid w:val="00E47B18"/>
    <w:rsid w:val="00E603F9"/>
    <w:rsid w:val="00E62061"/>
    <w:rsid w:val="00E7073E"/>
    <w:rsid w:val="00E74399"/>
    <w:rsid w:val="00E76B31"/>
    <w:rsid w:val="00E81F3E"/>
    <w:rsid w:val="00E82CBE"/>
    <w:rsid w:val="00E84C48"/>
    <w:rsid w:val="00E859BD"/>
    <w:rsid w:val="00E86B70"/>
    <w:rsid w:val="00E87C8F"/>
    <w:rsid w:val="00E924C3"/>
    <w:rsid w:val="00E96759"/>
    <w:rsid w:val="00EA0FFA"/>
    <w:rsid w:val="00EA5452"/>
    <w:rsid w:val="00EB34FC"/>
    <w:rsid w:val="00EB52F2"/>
    <w:rsid w:val="00EB76E1"/>
    <w:rsid w:val="00EC03BE"/>
    <w:rsid w:val="00EC1720"/>
    <w:rsid w:val="00EC1E06"/>
    <w:rsid w:val="00EC32C1"/>
    <w:rsid w:val="00ED1256"/>
    <w:rsid w:val="00EF4E6B"/>
    <w:rsid w:val="00EF5416"/>
    <w:rsid w:val="00F06CCF"/>
    <w:rsid w:val="00F1053D"/>
    <w:rsid w:val="00F12733"/>
    <w:rsid w:val="00F20DCF"/>
    <w:rsid w:val="00F2185F"/>
    <w:rsid w:val="00F24984"/>
    <w:rsid w:val="00F341E3"/>
    <w:rsid w:val="00F4304D"/>
    <w:rsid w:val="00F438CD"/>
    <w:rsid w:val="00F4752B"/>
    <w:rsid w:val="00F476E8"/>
    <w:rsid w:val="00F56792"/>
    <w:rsid w:val="00F60E32"/>
    <w:rsid w:val="00F65ABA"/>
    <w:rsid w:val="00F7242E"/>
    <w:rsid w:val="00F81634"/>
    <w:rsid w:val="00F85334"/>
    <w:rsid w:val="00F85EEE"/>
    <w:rsid w:val="00F91BC0"/>
    <w:rsid w:val="00F96DEB"/>
    <w:rsid w:val="00FA6840"/>
    <w:rsid w:val="00FB1028"/>
    <w:rsid w:val="00FB2590"/>
    <w:rsid w:val="00FD04E4"/>
    <w:rsid w:val="00FD5A8C"/>
    <w:rsid w:val="00FE286E"/>
    <w:rsid w:val="00FE3233"/>
    <w:rsid w:val="00FE4A1B"/>
    <w:rsid w:val="00FE6C7B"/>
    <w:rsid w:val="00FE7925"/>
    <w:rsid w:val="00FF1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873884"/>
  <w15:docId w15:val="{78871BD4-0ADF-41E1-8785-C7134AE3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6B2"/>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Contemporary1">
    <w:name w:val="Table Contemporary1"/>
    <w:basedOn w:val="TableNormal"/>
    <w:next w:val="TableContemporary"/>
    <w:rsid w:val="006B3FA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uiPriority w:val="59"/>
    <w:rsid w:val="00A87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ontemporary2">
    <w:name w:val="Table Contemporary2"/>
    <w:basedOn w:val="TableNormal"/>
    <w:next w:val="TableContemporary"/>
    <w:rsid w:val="00605FC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WPTable1">
    <w:name w:val="WP Table1"/>
    <w:basedOn w:val="TableNormal"/>
    <w:next w:val="TableContemporary"/>
    <w:rsid w:val="001A08D7"/>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1">
    <w:name w:val="Table Grid11"/>
    <w:basedOn w:val="TableNormal"/>
    <w:next w:val="TableGrid"/>
    <w:rsid w:val="00397AC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CE402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6D9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886D9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B81EF8"/>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182F6B"/>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92001">
      <w:bodyDiv w:val="1"/>
      <w:marLeft w:val="0"/>
      <w:marRight w:val="0"/>
      <w:marTop w:val="0"/>
      <w:marBottom w:val="0"/>
      <w:divBdr>
        <w:top w:val="none" w:sz="0" w:space="0" w:color="auto"/>
        <w:left w:val="none" w:sz="0" w:space="0" w:color="auto"/>
        <w:bottom w:val="none" w:sz="0" w:space="0" w:color="auto"/>
        <w:right w:val="none" w:sz="0" w:space="0" w:color="auto"/>
      </w:divBdr>
    </w:div>
    <w:div w:id="575435818">
      <w:bodyDiv w:val="1"/>
      <w:marLeft w:val="0"/>
      <w:marRight w:val="0"/>
      <w:marTop w:val="0"/>
      <w:marBottom w:val="0"/>
      <w:divBdr>
        <w:top w:val="none" w:sz="0" w:space="0" w:color="auto"/>
        <w:left w:val="none" w:sz="0" w:space="0" w:color="auto"/>
        <w:bottom w:val="none" w:sz="0" w:space="0" w:color="auto"/>
        <w:right w:val="none" w:sz="0" w:space="0" w:color="auto"/>
      </w:divBdr>
    </w:div>
    <w:div w:id="60099456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3218587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33197534">
      <w:bodyDiv w:val="1"/>
      <w:marLeft w:val="0"/>
      <w:marRight w:val="0"/>
      <w:marTop w:val="0"/>
      <w:marBottom w:val="0"/>
      <w:divBdr>
        <w:top w:val="none" w:sz="0" w:space="0" w:color="auto"/>
        <w:left w:val="none" w:sz="0" w:space="0" w:color="auto"/>
        <w:bottom w:val="none" w:sz="0" w:space="0" w:color="auto"/>
        <w:right w:val="none" w:sz="0" w:space="0" w:color="auto"/>
      </w:divBdr>
    </w:div>
    <w:div w:id="1373069377">
      <w:bodyDiv w:val="1"/>
      <w:marLeft w:val="0"/>
      <w:marRight w:val="0"/>
      <w:marTop w:val="0"/>
      <w:marBottom w:val="0"/>
      <w:divBdr>
        <w:top w:val="none" w:sz="0" w:space="0" w:color="auto"/>
        <w:left w:val="none" w:sz="0" w:space="0" w:color="auto"/>
        <w:bottom w:val="none" w:sz="0" w:space="0" w:color="auto"/>
        <w:right w:val="none" w:sz="0" w:space="0" w:color="auto"/>
      </w:divBdr>
    </w:div>
    <w:div w:id="1496800295">
      <w:bodyDiv w:val="1"/>
      <w:marLeft w:val="0"/>
      <w:marRight w:val="0"/>
      <w:marTop w:val="0"/>
      <w:marBottom w:val="0"/>
      <w:divBdr>
        <w:top w:val="none" w:sz="0" w:space="0" w:color="auto"/>
        <w:left w:val="none" w:sz="0" w:space="0" w:color="auto"/>
        <w:bottom w:val="none" w:sz="0" w:space="0" w:color="auto"/>
        <w:right w:val="none" w:sz="0" w:space="0" w:color="auto"/>
      </w:divBdr>
    </w:div>
    <w:div w:id="189847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ce.com/appliances" TargetMode="External"/><Relationship Id="rId17"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caltf.org/"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7"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20167"/>
    <w:rsid w:val="001234EC"/>
    <w:rsid w:val="00185E1C"/>
    <w:rsid w:val="001B642E"/>
    <w:rsid w:val="00237B5D"/>
    <w:rsid w:val="00277807"/>
    <w:rsid w:val="002965E9"/>
    <w:rsid w:val="002A0563"/>
    <w:rsid w:val="002A300A"/>
    <w:rsid w:val="002A71A7"/>
    <w:rsid w:val="002C0129"/>
    <w:rsid w:val="00311B0D"/>
    <w:rsid w:val="00345F14"/>
    <w:rsid w:val="00372CF6"/>
    <w:rsid w:val="0046456B"/>
    <w:rsid w:val="00492D21"/>
    <w:rsid w:val="00494C4D"/>
    <w:rsid w:val="004D7567"/>
    <w:rsid w:val="00557B4E"/>
    <w:rsid w:val="00560392"/>
    <w:rsid w:val="005B1393"/>
    <w:rsid w:val="005D436A"/>
    <w:rsid w:val="005E4966"/>
    <w:rsid w:val="007D5FEF"/>
    <w:rsid w:val="007E0054"/>
    <w:rsid w:val="007E43BD"/>
    <w:rsid w:val="008211B5"/>
    <w:rsid w:val="00822B9C"/>
    <w:rsid w:val="008E0B3A"/>
    <w:rsid w:val="00A16B56"/>
    <w:rsid w:val="00A57947"/>
    <w:rsid w:val="00AA0F2F"/>
    <w:rsid w:val="00B06916"/>
    <w:rsid w:val="00C62B77"/>
    <w:rsid w:val="00CF1251"/>
    <w:rsid w:val="00E128F9"/>
    <w:rsid w:val="00E71C3F"/>
    <w:rsid w:val="00E9755F"/>
    <w:rsid w:val="00EC59D9"/>
    <w:rsid w:val="00F7350A"/>
    <w:rsid w:val="00FE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ABA362-8D51-4AA8-96AF-644CC1582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2970</Words>
  <Characters>16934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SCE17WH001</vt:lpstr>
    </vt:vector>
  </TitlesOfParts>
  <Company>Southern California Edison Company</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SCE17WH001</dc:title>
  <dc:creator>O'Keefe, Brian;Jason H Wang</dc:creator>
  <cp:lastModifiedBy>Cassie Cuaresma</cp:lastModifiedBy>
  <cp:revision>3</cp:revision>
  <dcterms:created xsi:type="dcterms:W3CDTF">2018-11-30T21:16:00Z</dcterms:created>
  <dcterms:modified xsi:type="dcterms:W3CDTF">2018-12-01T00:15:00Z</dcterms:modified>
  <cp:contentStatus>Revision 2</cp:contentStatus>
</cp:coreProperties>
</file>